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48B" w:rsidRDefault="00111998" w:rsidP="0031448B">
      <w:pPr>
        <w:spacing w:after="0" w:line="480" w:lineRule="auto"/>
        <w:jc w:val="center"/>
        <w:rPr>
          <w:rFonts w:cs="Times New Roman"/>
          <w:caps/>
          <w:sz w:val="24"/>
          <w:szCs w:val="24"/>
        </w:rPr>
      </w:pPr>
      <w:r w:rsidRPr="004451F9">
        <w:rPr>
          <w:rFonts w:cs="Times New Roman"/>
          <w:caps/>
          <w:sz w:val="24"/>
          <w:szCs w:val="24"/>
        </w:rPr>
        <w:t>The Role of Politi</w:t>
      </w:r>
      <w:r w:rsidR="0031448B">
        <w:rPr>
          <w:rFonts w:cs="Times New Roman"/>
          <w:caps/>
          <w:sz w:val="24"/>
          <w:szCs w:val="24"/>
        </w:rPr>
        <w:t>cal Parties in Democratization:</w:t>
      </w:r>
    </w:p>
    <w:p w:rsidR="00296D9D" w:rsidRPr="004451F9" w:rsidRDefault="00111998" w:rsidP="0031448B">
      <w:pPr>
        <w:spacing w:after="0" w:line="480" w:lineRule="auto"/>
        <w:jc w:val="center"/>
        <w:rPr>
          <w:rFonts w:cs="Times New Roman"/>
          <w:caps/>
          <w:sz w:val="24"/>
          <w:szCs w:val="24"/>
        </w:rPr>
      </w:pPr>
      <w:r w:rsidRPr="004451F9">
        <w:rPr>
          <w:rFonts w:cs="Times New Roman"/>
          <w:caps/>
          <w:sz w:val="24"/>
          <w:szCs w:val="24"/>
        </w:rPr>
        <w:t>the Cases of Turkey and South Africa</w:t>
      </w:r>
    </w:p>
    <w:p w:rsidR="000D3A5A" w:rsidRDefault="000D3A5A" w:rsidP="00B35AC7">
      <w:pPr>
        <w:spacing w:after="0" w:line="480" w:lineRule="auto"/>
        <w:jc w:val="center"/>
        <w:rPr>
          <w:rFonts w:cs="Times New Roman"/>
          <w:smallCaps/>
          <w:sz w:val="24"/>
          <w:szCs w:val="24"/>
        </w:rPr>
      </w:pPr>
      <w:r>
        <w:rPr>
          <w:rFonts w:cs="Times New Roman"/>
          <w:smallCaps/>
          <w:sz w:val="24"/>
          <w:szCs w:val="24"/>
        </w:rPr>
        <w:t>Shanda L. King</w:t>
      </w:r>
    </w:p>
    <w:p w:rsidR="00111998" w:rsidRPr="004451F9" w:rsidRDefault="00111998" w:rsidP="00B35AC7">
      <w:pPr>
        <w:spacing w:after="0" w:line="480" w:lineRule="auto"/>
        <w:jc w:val="center"/>
        <w:rPr>
          <w:rFonts w:cs="Times New Roman"/>
          <w:smallCaps/>
          <w:sz w:val="24"/>
          <w:szCs w:val="24"/>
        </w:rPr>
      </w:pPr>
      <w:r w:rsidRPr="004451F9">
        <w:rPr>
          <w:rFonts w:cs="Times New Roman"/>
          <w:smallCaps/>
          <w:sz w:val="24"/>
          <w:szCs w:val="24"/>
        </w:rPr>
        <w:t>Introduction</w:t>
      </w:r>
    </w:p>
    <w:p w:rsidR="005752AC" w:rsidRPr="004451F9" w:rsidRDefault="000C4321" w:rsidP="00B35AC7">
      <w:pPr>
        <w:spacing w:after="0" w:line="480" w:lineRule="auto"/>
        <w:ind w:firstLine="720"/>
        <w:rPr>
          <w:rFonts w:cs="Times New Roman"/>
          <w:sz w:val="24"/>
          <w:szCs w:val="24"/>
        </w:rPr>
      </w:pPr>
      <w:r w:rsidRPr="004451F9">
        <w:rPr>
          <w:rFonts w:cs="Times New Roman"/>
          <w:sz w:val="24"/>
          <w:szCs w:val="24"/>
        </w:rPr>
        <w:t>Democracy by its nature cannot exist without elections to express the will of the people being governed.</w:t>
      </w:r>
      <w:r w:rsidRPr="004451F9">
        <w:rPr>
          <w:rStyle w:val="FootnoteReference"/>
          <w:rFonts w:cs="Times New Roman"/>
          <w:sz w:val="24"/>
          <w:szCs w:val="24"/>
        </w:rPr>
        <w:footnoteReference w:id="1"/>
      </w:r>
      <w:r w:rsidRPr="004451F9">
        <w:rPr>
          <w:rFonts w:cs="Times New Roman"/>
          <w:sz w:val="24"/>
          <w:szCs w:val="24"/>
        </w:rPr>
        <w:t xml:space="preserve"> </w:t>
      </w:r>
      <w:r w:rsidR="000D7E17" w:rsidRPr="004451F9">
        <w:rPr>
          <w:rFonts w:cs="Times New Roman"/>
          <w:sz w:val="24"/>
          <w:szCs w:val="24"/>
        </w:rPr>
        <w:t>Successful elections are largely a function of political parties strong enough to inform and mobilize the electorate.</w:t>
      </w:r>
      <w:r w:rsidR="000D7E17" w:rsidRPr="004451F9">
        <w:rPr>
          <w:rStyle w:val="FootnoteReference"/>
          <w:rFonts w:cs="Times New Roman"/>
          <w:sz w:val="24"/>
          <w:szCs w:val="24"/>
        </w:rPr>
        <w:footnoteReference w:id="2"/>
      </w:r>
      <w:r w:rsidR="000D7E17" w:rsidRPr="004451F9">
        <w:rPr>
          <w:rFonts w:cs="Times New Roman"/>
          <w:sz w:val="24"/>
          <w:szCs w:val="24"/>
        </w:rPr>
        <w:t xml:space="preserve"> Thus, m</w:t>
      </w:r>
      <w:r w:rsidR="00BA5972" w:rsidRPr="004451F9">
        <w:rPr>
          <w:rFonts w:cs="Times New Roman"/>
          <w:sz w:val="24"/>
          <w:szCs w:val="24"/>
        </w:rPr>
        <w:t xml:space="preserve">odern democracy </w:t>
      </w:r>
      <w:r w:rsidR="000D7E17" w:rsidRPr="004451F9">
        <w:rPr>
          <w:rFonts w:cs="Times New Roman"/>
          <w:sz w:val="24"/>
          <w:szCs w:val="24"/>
        </w:rPr>
        <w:t>is not possible outside</w:t>
      </w:r>
      <w:r w:rsidR="00BA5972" w:rsidRPr="004451F9">
        <w:rPr>
          <w:rFonts w:cs="Times New Roman"/>
          <w:sz w:val="24"/>
          <w:szCs w:val="24"/>
        </w:rPr>
        <w:t xml:space="preserve"> of the political parties that carry it out</w:t>
      </w:r>
      <w:r w:rsidR="00111998" w:rsidRPr="004451F9">
        <w:rPr>
          <w:rFonts w:cs="Times New Roman"/>
          <w:sz w:val="24"/>
          <w:szCs w:val="24"/>
        </w:rPr>
        <w:t>.</w:t>
      </w:r>
      <w:r w:rsidR="00111998" w:rsidRPr="004451F9">
        <w:rPr>
          <w:rStyle w:val="FootnoteReference"/>
          <w:rFonts w:cs="Times New Roman"/>
          <w:sz w:val="24"/>
          <w:szCs w:val="24"/>
        </w:rPr>
        <w:footnoteReference w:id="3"/>
      </w:r>
      <w:r w:rsidR="00BA5972" w:rsidRPr="004451F9">
        <w:rPr>
          <w:rFonts w:cs="Times New Roman"/>
          <w:sz w:val="24"/>
          <w:szCs w:val="24"/>
        </w:rPr>
        <w:t xml:space="preserve"> </w:t>
      </w:r>
    </w:p>
    <w:p w:rsidR="00B34E87" w:rsidRPr="004451F9" w:rsidRDefault="005752AC" w:rsidP="00B35AC7">
      <w:pPr>
        <w:spacing w:after="0" w:line="240" w:lineRule="auto"/>
        <w:ind w:left="720" w:right="720"/>
        <w:rPr>
          <w:rFonts w:cs="Times New Roman"/>
          <w:sz w:val="24"/>
          <w:szCs w:val="24"/>
        </w:rPr>
      </w:pPr>
      <w:r w:rsidRPr="004451F9">
        <w:rPr>
          <w:rFonts w:cs="Times New Roman"/>
          <w:sz w:val="24"/>
          <w:szCs w:val="24"/>
        </w:rPr>
        <w:t>[P]olitical parties remain the best instrument to fulfill vital functions in</w:t>
      </w:r>
      <w:r w:rsidR="00B34E87" w:rsidRPr="004451F9">
        <w:rPr>
          <w:rFonts w:cs="Times New Roman"/>
          <w:sz w:val="24"/>
          <w:szCs w:val="24"/>
        </w:rPr>
        <w:t xml:space="preserve"> </w:t>
      </w:r>
      <w:r w:rsidRPr="004451F9">
        <w:rPr>
          <w:rFonts w:cs="Times New Roman"/>
          <w:sz w:val="24"/>
          <w:szCs w:val="24"/>
        </w:rPr>
        <w:t>democratic polities. At their best, they structure political choices in democratic</w:t>
      </w:r>
      <w:r w:rsidR="00B34E87" w:rsidRPr="004451F9">
        <w:rPr>
          <w:rFonts w:cs="Times New Roman"/>
          <w:sz w:val="24"/>
          <w:szCs w:val="24"/>
        </w:rPr>
        <w:t xml:space="preserve"> </w:t>
      </w:r>
      <w:r w:rsidRPr="004451F9">
        <w:rPr>
          <w:rFonts w:cs="Times New Roman"/>
          <w:sz w:val="24"/>
          <w:szCs w:val="24"/>
        </w:rPr>
        <w:t>elections, recruit political leadership, provide a channel of communication</w:t>
      </w:r>
      <w:r w:rsidR="00B34E87" w:rsidRPr="004451F9">
        <w:rPr>
          <w:rFonts w:cs="Times New Roman"/>
          <w:sz w:val="24"/>
          <w:szCs w:val="24"/>
        </w:rPr>
        <w:t xml:space="preserve"> </w:t>
      </w:r>
      <w:r w:rsidRPr="004451F9">
        <w:rPr>
          <w:rFonts w:cs="Times New Roman"/>
          <w:sz w:val="24"/>
          <w:szCs w:val="24"/>
        </w:rPr>
        <w:t>between society and state institutions and, crucially, aggregate social interests into</w:t>
      </w:r>
      <w:r w:rsidR="00B34E87" w:rsidRPr="004451F9">
        <w:rPr>
          <w:rFonts w:cs="Times New Roman"/>
          <w:sz w:val="24"/>
          <w:szCs w:val="24"/>
        </w:rPr>
        <w:t xml:space="preserve"> </w:t>
      </w:r>
      <w:r w:rsidRPr="004451F9">
        <w:rPr>
          <w:rFonts w:cs="Times New Roman"/>
          <w:sz w:val="24"/>
          <w:szCs w:val="24"/>
        </w:rPr>
        <w:t>political platforms. In their electoral and aggregative functions, in particular, they</w:t>
      </w:r>
      <w:r w:rsidR="00B34E87" w:rsidRPr="004451F9">
        <w:rPr>
          <w:rFonts w:cs="Times New Roman"/>
          <w:sz w:val="24"/>
          <w:szCs w:val="24"/>
        </w:rPr>
        <w:t xml:space="preserve"> </w:t>
      </w:r>
      <w:r w:rsidRPr="004451F9">
        <w:rPr>
          <w:rFonts w:cs="Times New Roman"/>
          <w:sz w:val="24"/>
          <w:szCs w:val="24"/>
        </w:rPr>
        <w:t>are not likely to be replaced by other civil society groups, no matter how active</w:t>
      </w:r>
      <w:r w:rsidR="00B34E87" w:rsidRPr="004451F9">
        <w:rPr>
          <w:rFonts w:cs="Times New Roman"/>
          <w:sz w:val="24"/>
          <w:szCs w:val="24"/>
        </w:rPr>
        <w:t xml:space="preserve"> </w:t>
      </w:r>
      <w:r w:rsidRPr="004451F9">
        <w:rPr>
          <w:rFonts w:cs="Times New Roman"/>
          <w:sz w:val="24"/>
          <w:szCs w:val="24"/>
        </w:rPr>
        <w:t>and vibrant the latter may be.</w:t>
      </w:r>
      <w:r w:rsidR="00B34E87" w:rsidRPr="004451F9">
        <w:rPr>
          <w:rStyle w:val="FootnoteReference"/>
          <w:rFonts w:cs="Times New Roman"/>
          <w:sz w:val="24"/>
          <w:szCs w:val="24"/>
        </w:rPr>
        <w:footnoteReference w:id="4"/>
      </w:r>
    </w:p>
    <w:p w:rsidR="00B35AC7" w:rsidRPr="004451F9" w:rsidRDefault="00B35AC7" w:rsidP="00B35AC7">
      <w:pPr>
        <w:spacing w:after="0" w:line="240" w:lineRule="auto"/>
        <w:ind w:left="720" w:right="720"/>
        <w:rPr>
          <w:rFonts w:cs="Times New Roman"/>
          <w:sz w:val="24"/>
          <w:szCs w:val="24"/>
        </w:rPr>
      </w:pPr>
    </w:p>
    <w:p w:rsidR="004D7643" w:rsidRPr="004451F9" w:rsidRDefault="00BA5972" w:rsidP="00B35AC7">
      <w:pPr>
        <w:spacing w:after="0" w:line="480" w:lineRule="auto"/>
        <w:ind w:firstLine="720"/>
        <w:rPr>
          <w:rFonts w:cs="Times New Roman"/>
          <w:sz w:val="24"/>
          <w:szCs w:val="24"/>
        </w:rPr>
      </w:pPr>
      <w:r w:rsidRPr="004451F9">
        <w:rPr>
          <w:rFonts w:cs="Times New Roman"/>
          <w:sz w:val="24"/>
          <w:szCs w:val="24"/>
        </w:rPr>
        <w:t>Democracies depend on the buy-in of political parties that are willing to "accept open-ended governance outcomes" in which their share of power is not guaranteed.</w:t>
      </w:r>
      <w:r w:rsidRPr="004451F9">
        <w:rPr>
          <w:rStyle w:val="FootnoteReference"/>
          <w:rFonts w:cs="Times New Roman"/>
          <w:sz w:val="24"/>
          <w:szCs w:val="24"/>
        </w:rPr>
        <w:footnoteReference w:id="5"/>
      </w:r>
      <w:r w:rsidR="000D7E17" w:rsidRPr="004451F9">
        <w:rPr>
          <w:rFonts w:cs="Times New Roman"/>
          <w:sz w:val="24"/>
          <w:szCs w:val="24"/>
        </w:rPr>
        <w:t xml:space="preserve"> Political parties can be especially important for "pacted democratizing transitions," in which parties can be expected to "deliver on promises made" and "keep members and constituents in compliance with pact principles."</w:t>
      </w:r>
      <w:r w:rsidR="00C67B8C" w:rsidRPr="004451F9">
        <w:rPr>
          <w:rStyle w:val="FootnoteReference"/>
          <w:rFonts w:cs="Times New Roman"/>
          <w:sz w:val="24"/>
          <w:szCs w:val="24"/>
        </w:rPr>
        <w:footnoteReference w:id="6"/>
      </w:r>
      <w:r w:rsidR="000D7E17" w:rsidRPr="004451F9">
        <w:rPr>
          <w:rFonts w:cs="Times New Roman"/>
          <w:sz w:val="24"/>
          <w:szCs w:val="24"/>
        </w:rPr>
        <w:t xml:space="preserve"> </w:t>
      </w:r>
      <w:r w:rsidR="004D7643" w:rsidRPr="004451F9">
        <w:rPr>
          <w:rFonts w:cs="Times New Roman"/>
          <w:sz w:val="24"/>
          <w:szCs w:val="24"/>
        </w:rPr>
        <w:t>Competition between parties</w:t>
      </w:r>
      <w:r w:rsidR="000D7E17" w:rsidRPr="004451F9">
        <w:rPr>
          <w:rFonts w:cs="Times New Roman"/>
          <w:sz w:val="24"/>
          <w:szCs w:val="24"/>
        </w:rPr>
        <w:t xml:space="preserve"> can </w:t>
      </w:r>
      <w:r w:rsidR="004D7643" w:rsidRPr="004451F9">
        <w:rPr>
          <w:rFonts w:cs="Times New Roman"/>
          <w:sz w:val="24"/>
          <w:szCs w:val="24"/>
        </w:rPr>
        <w:t xml:space="preserve">also </w:t>
      </w:r>
      <w:r w:rsidR="000D7E17" w:rsidRPr="004451F9">
        <w:rPr>
          <w:rFonts w:cs="Times New Roman"/>
          <w:sz w:val="24"/>
          <w:szCs w:val="24"/>
        </w:rPr>
        <w:t xml:space="preserve">be an "engine of democratic deepening" </w:t>
      </w:r>
      <w:r w:rsidR="000D7E17" w:rsidRPr="004451F9">
        <w:rPr>
          <w:rFonts w:cs="Times New Roman"/>
          <w:sz w:val="24"/>
          <w:szCs w:val="24"/>
        </w:rPr>
        <w:lastRenderedPageBreak/>
        <w:t>by motivating extension of suffrage</w:t>
      </w:r>
      <w:r w:rsidR="004D7643" w:rsidRPr="004451F9">
        <w:rPr>
          <w:rFonts w:cs="Times New Roman"/>
          <w:sz w:val="24"/>
          <w:szCs w:val="24"/>
        </w:rPr>
        <w:t xml:space="preserve"> to widen political bases.</w:t>
      </w:r>
      <w:r w:rsidR="004D7643" w:rsidRPr="004451F9">
        <w:rPr>
          <w:rStyle w:val="FootnoteReference"/>
          <w:rFonts w:cs="Times New Roman"/>
          <w:sz w:val="24"/>
          <w:szCs w:val="24"/>
        </w:rPr>
        <w:footnoteReference w:id="7"/>
      </w:r>
      <w:r w:rsidR="004D7643" w:rsidRPr="004451F9">
        <w:rPr>
          <w:rFonts w:cs="Times New Roman"/>
          <w:sz w:val="24"/>
          <w:szCs w:val="24"/>
        </w:rPr>
        <w:t xml:space="preserve"> But political parties can also at times be detrimental to democratization, for example, by reinforcing authoritative regimes,</w:t>
      </w:r>
      <w:r w:rsidR="004D7643" w:rsidRPr="004451F9">
        <w:rPr>
          <w:rStyle w:val="FootnoteReference"/>
          <w:rFonts w:cs="Times New Roman"/>
          <w:sz w:val="24"/>
          <w:szCs w:val="24"/>
        </w:rPr>
        <w:footnoteReference w:id="8"/>
      </w:r>
      <w:r w:rsidR="004D7643" w:rsidRPr="004451F9">
        <w:rPr>
          <w:rFonts w:cs="Times New Roman"/>
          <w:sz w:val="24"/>
          <w:szCs w:val="24"/>
        </w:rPr>
        <w:t xml:space="preserve"> especially in transitional democracies.</w:t>
      </w:r>
    </w:p>
    <w:p w:rsidR="003B0A39" w:rsidRPr="004451F9" w:rsidRDefault="004D653F" w:rsidP="00B35AC7">
      <w:pPr>
        <w:spacing w:after="0" w:line="480" w:lineRule="auto"/>
        <w:ind w:firstLine="720"/>
        <w:rPr>
          <w:rFonts w:cs="Times New Roman"/>
          <w:sz w:val="24"/>
          <w:szCs w:val="24"/>
        </w:rPr>
      </w:pPr>
      <w:r w:rsidRPr="004451F9">
        <w:rPr>
          <w:rFonts w:cs="Times New Roman"/>
          <w:sz w:val="24"/>
          <w:szCs w:val="24"/>
        </w:rPr>
        <w:t>To a large extent, the nature of a political regime shapes the ability of parties to participate effectively in a democracy.</w:t>
      </w:r>
      <w:r w:rsidRPr="004451F9">
        <w:rPr>
          <w:rStyle w:val="FootnoteReference"/>
          <w:rFonts w:cs="Times New Roman"/>
          <w:sz w:val="24"/>
          <w:szCs w:val="24"/>
        </w:rPr>
        <w:footnoteReference w:id="9"/>
      </w:r>
      <w:r w:rsidRPr="004451F9">
        <w:rPr>
          <w:rFonts w:cs="Times New Roman"/>
          <w:sz w:val="24"/>
          <w:szCs w:val="24"/>
        </w:rPr>
        <w:t xml:space="preserve"> "The state is what one rules, regimes are how one rules, and government is the group of individuals who rule. In short, regimes are the rules governing the distribution of power and the relationships between the agents of power in polities."</w:t>
      </w:r>
      <w:r w:rsidRPr="004451F9">
        <w:rPr>
          <w:rStyle w:val="FootnoteReference"/>
          <w:rFonts w:cs="Times New Roman"/>
          <w:sz w:val="24"/>
          <w:szCs w:val="24"/>
        </w:rPr>
        <w:footnoteReference w:id="10"/>
      </w:r>
      <w:r w:rsidRPr="004451F9">
        <w:rPr>
          <w:rFonts w:cs="Times New Roman"/>
          <w:sz w:val="24"/>
          <w:szCs w:val="24"/>
        </w:rPr>
        <w:t xml:space="preserve"> But a party itself may also be able to affect regime change during times of government transition.</w:t>
      </w:r>
      <w:r w:rsidRPr="004451F9">
        <w:rPr>
          <w:rStyle w:val="FootnoteReference"/>
          <w:rFonts w:cs="Times New Roman"/>
          <w:sz w:val="24"/>
          <w:szCs w:val="24"/>
        </w:rPr>
        <w:footnoteReference w:id="11"/>
      </w:r>
      <w:r w:rsidRPr="004451F9">
        <w:rPr>
          <w:rFonts w:cs="Times New Roman"/>
          <w:sz w:val="24"/>
          <w:szCs w:val="24"/>
        </w:rPr>
        <w:t xml:space="preserve"> Ultimately, a political party's ability to compete effectively is dictated not only by the rules of the game, so to speak, but also by a party's ability to </w:t>
      </w:r>
      <w:r w:rsidR="00F97906" w:rsidRPr="004451F9">
        <w:rPr>
          <w:rFonts w:cs="Times New Roman"/>
          <w:sz w:val="24"/>
          <w:szCs w:val="24"/>
        </w:rPr>
        <w:t>harness resources and infrastructure to mobilize the electorate</w:t>
      </w:r>
      <w:r w:rsidR="00B35AC7" w:rsidRPr="004451F9">
        <w:rPr>
          <w:rFonts w:cs="Times New Roman"/>
          <w:sz w:val="24"/>
          <w:szCs w:val="24"/>
        </w:rPr>
        <w:t>.</w:t>
      </w:r>
      <w:r w:rsidR="00F97906" w:rsidRPr="004451F9">
        <w:rPr>
          <w:rStyle w:val="FootnoteReference"/>
          <w:rFonts w:cs="Times New Roman"/>
          <w:sz w:val="24"/>
          <w:szCs w:val="24"/>
        </w:rPr>
        <w:footnoteReference w:id="12"/>
      </w:r>
      <w:r w:rsidR="00F97906" w:rsidRPr="004451F9">
        <w:rPr>
          <w:rFonts w:cs="Times New Roman"/>
          <w:sz w:val="24"/>
          <w:szCs w:val="24"/>
        </w:rPr>
        <w:t xml:space="preserve"> </w:t>
      </w:r>
    </w:p>
    <w:p w:rsidR="004D653F" w:rsidRPr="004451F9" w:rsidRDefault="00F97906" w:rsidP="00B35AC7">
      <w:pPr>
        <w:spacing w:after="0" w:line="480" w:lineRule="auto"/>
        <w:ind w:firstLine="720"/>
        <w:rPr>
          <w:rFonts w:cs="Times New Roman"/>
          <w:sz w:val="24"/>
          <w:szCs w:val="24"/>
        </w:rPr>
      </w:pPr>
      <w:r w:rsidRPr="004451F9">
        <w:rPr>
          <w:rFonts w:cs="Times New Roman"/>
          <w:sz w:val="24"/>
          <w:szCs w:val="24"/>
        </w:rPr>
        <w:t xml:space="preserve">This paper analyzes the rules and access points that liberate or inhibit </w:t>
      </w:r>
      <w:r w:rsidR="003B0A39" w:rsidRPr="004451F9">
        <w:rPr>
          <w:rFonts w:cs="Times New Roman"/>
          <w:sz w:val="24"/>
          <w:szCs w:val="24"/>
        </w:rPr>
        <w:t>successful political party participation in two transitional democracies, Turkey and South Africa. It examines the constitutional and legal rights and protections, or lack thereof, afforded to political parties in order ultimately to discover how they promote or restrain democracy. For this ultimate goal, it is important to keep in mind that "</w:t>
      </w:r>
      <w:r w:rsidR="003B0A39" w:rsidRPr="004451F9">
        <w:rPr>
          <w:sz w:val="24"/>
          <w:szCs w:val="24"/>
        </w:rPr>
        <w:t>[w]</w:t>
      </w:r>
      <w:r w:rsidR="003B0A39" w:rsidRPr="004451F9">
        <w:rPr>
          <w:rFonts w:cs="Times New Roman"/>
          <w:sz w:val="24"/>
          <w:szCs w:val="24"/>
        </w:rPr>
        <w:t xml:space="preserve">hat makes democracy </w:t>
      </w:r>
      <w:r w:rsidR="003B0A39" w:rsidRPr="004451F9">
        <w:rPr>
          <w:rFonts w:cs="Times New Roman"/>
          <w:i/>
          <w:sz w:val="24"/>
          <w:szCs w:val="24"/>
        </w:rPr>
        <w:t xml:space="preserve">possible </w:t>
      </w:r>
      <w:r w:rsidR="003B0A39" w:rsidRPr="004451F9">
        <w:rPr>
          <w:rFonts w:cs="Times New Roman"/>
          <w:sz w:val="24"/>
          <w:szCs w:val="24"/>
        </w:rPr>
        <w:t xml:space="preserve">is not the same thing as what makes democracy </w:t>
      </w:r>
      <w:r w:rsidR="003B0A39" w:rsidRPr="004451F9">
        <w:rPr>
          <w:rFonts w:cs="Times New Roman"/>
          <w:i/>
          <w:sz w:val="24"/>
          <w:szCs w:val="24"/>
        </w:rPr>
        <w:t>more democratic</w:t>
      </w:r>
      <w:r w:rsidR="003B0A39" w:rsidRPr="004451F9">
        <w:rPr>
          <w:rFonts w:cs="Times New Roman"/>
          <w:sz w:val="24"/>
          <w:szCs w:val="24"/>
        </w:rPr>
        <w:t>."</w:t>
      </w:r>
      <w:r w:rsidR="003B0A39" w:rsidRPr="004451F9">
        <w:rPr>
          <w:rStyle w:val="FootnoteReference"/>
          <w:rFonts w:cs="Times New Roman"/>
          <w:sz w:val="24"/>
          <w:szCs w:val="24"/>
        </w:rPr>
        <w:footnoteReference w:id="13"/>
      </w:r>
      <w:r w:rsidR="00857578" w:rsidRPr="004451F9">
        <w:rPr>
          <w:rFonts w:cs="Times New Roman"/>
          <w:sz w:val="24"/>
          <w:szCs w:val="24"/>
        </w:rPr>
        <w:t xml:space="preserve"> Although both dimensions are arguably expressed at </w:t>
      </w:r>
      <w:r w:rsidR="00857578" w:rsidRPr="004451F9">
        <w:rPr>
          <w:rFonts w:cs="Times New Roman"/>
          <w:sz w:val="24"/>
          <w:szCs w:val="24"/>
        </w:rPr>
        <w:lastRenderedPageBreak/>
        <w:t xml:space="preserve">various points in this paper, because the paper focuses on </w:t>
      </w:r>
      <w:r w:rsidR="00857578" w:rsidRPr="004451F9">
        <w:rPr>
          <w:rFonts w:cs="Times New Roman"/>
          <w:i/>
          <w:sz w:val="24"/>
          <w:szCs w:val="24"/>
        </w:rPr>
        <w:t xml:space="preserve">transitional </w:t>
      </w:r>
      <w:r w:rsidR="00857578" w:rsidRPr="004451F9">
        <w:rPr>
          <w:rFonts w:cs="Times New Roman"/>
          <w:sz w:val="24"/>
          <w:szCs w:val="24"/>
        </w:rPr>
        <w:t xml:space="preserve">democracies, much of the analyses necessarily centers on what can make democracy </w:t>
      </w:r>
      <w:r w:rsidR="00857578" w:rsidRPr="004451F9">
        <w:rPr>
          <w:rFonts w:cs="Times New Roman"/>
          <w:i/>
          <w:sz w:val="24"/>
          <w:szCs w:val="24"/>
        </w:rPr>
        <w:t xml:space="preserve">possible </w:t>
      </w:r>
      <w:r w:rsidR="00857578" w:rsidRPr="004451F9">
        <w:rPr>
          <w:rFonts w:cs="Times New Roman"/>
          <w:sz w:val="24"/>
          <w:szCs w:val="24"/>
        </w:rPr>
        <w:t>in these two countries.</w:t>
      </w:r>
    </w:p>
    <w:p w:rsidR="00857578" w:rsidRPr="004451F9" w:rsidRDefault="00857578" w:rsidP="00B35AC7">
      <w:pPr>
        <w:spacing w:after="0" w:line="480" w:lineRule="auto"/>
        <w:ind w:firstLine="720"/>
        <w:rPr>
          <w:rFonts w:cs="Times New Roman"/>
          <w:sz w:val="24"/>
          <w:szCs w:val="24"/>
        </w:rPr>
      </w:pPr>
      <w:r w:rsidRPr="004451F9">
        <w:rPr>
          <w:rFonts w:cs="Times New Roman"/>
          <w:sz w:val="24"/>
          <w:szCs w:val="24"/>
        </w:rPr>
        <w:t>For a comparative analysis, Turkey and South Africa might seem miles apart. However, they are both de</w:t>
      </w:r>
      <w:r w:rsidR="005A1FD5" w:rsidRPr="004451F9">
        <w:rPr>
          <w:rFonts w:cs="Times New Roman"/>
          <w:sz w:val="24"/>
          <w:szCs w:val="24"/>
        </w:rPr>
        <w:t>mocracies in transition. T</w:t>
      </w:r>
      <w:r w:rsidRPr="004451F9">
        <w:rPr>
          <w:rFonts w:cs="Times New Roman"/>
          <w:sz w:val="24"/>
          <w:szCs w:val="24"/>
        </w:rPr>
        <w:t xml:space="preserve">hey are both what many scholars consider the best representatives of successful democratic transitions in their respective </w:t>
      </w:r>
      <w:r w:rsidR="005A1FD5" w:rsidRPr="004451F9">
        <w:rPr>
          <w:rFonts w:cs="Times New Roman"/>
          <w:sz w:val="24"/>
          <w:szCs w:val="24"/>
        </w:rPr>
        <w:t>cultural</w:t>
      </w:r>
      <w:r w:rsidR="00A4147B" w:rsidRPr="004451F9">
        <w:rPr>
          <w:rFonts w:cs="Times New Roman"/>
          <w:sz w:val="24"/>
          <w:szCs w:val="24"/>
        </w:rPr>
        <w:t>-political</w:t>
      </w:r>
      <w:r w:rsidR="005A1FD5" w:rsidRPr="004451F9">
        <w:rPr>
          <w:rFonts w:cs="Times New Roman"/>
          <w:sz w:val="24"/>
          <w:szCs w:val="24"/>
        </w:rPr>
        <w:t xml:space="preserve"> peer </w:t>
      </w:r>
      <w:r w:rsidR="00A4147B" w:rsidRPr="004451F9">
        <w:rPr>
          <w:rFonts w:cs="Times New Roman"/>
          <w:sz w:val="24"/>
          <w:szCs w:val="24"/>
        </w:rPr>
        <w:t xml:space="preserve">state </w:t>
      </w:r>
      <w:r w:rsidR="005A1FD5" w:rsidRPr="004451F9">
        <w:rPr>
          <w:rFonts w:cs="Times New Roman"/>
          <w:sz w:val="24"/>
          <w:szCs w:val="24"/>
        </w:rPr>
        <w:t>groups – that is, majority-Islamic countries in the case of Turkey</w:t>
      </w:r>
      <w:r w:rsidRPr="004451F9">
        <w:rPr>
          <w:rFonts w:cs="Times New Roman"/>
          <w:sz w:val="24"/>
          <w:szCs w:val="24"/>
        </w:rPr>
        <w:t xml:space="preserve"> </w:t>
      </w:r>
      <w:r w:rsidR="005A1FD5" w:rsidRPr="004451F9">
        <w:rPr>
          <w:rFonts w:cs="Times New Roman"/>
          <w:sz w:val="24"/>
          <w:szCs w:val="24"/>
        </w:rPr>
        <w:t>and sub-Saharan or at least southern African nations in the case of South Africa.</w:t>
      </w:r>
      <w:r w:rsidR="005A1FD5" w:rsidRPr="004451F9">
        <w:rPr>
          <w:rStyle w:val="FootnoteReference"/>
          <w:rFonts w:cs="Times New Roman"/>
          <w:sz w:val="24"/>
          <w:szCs w:val="24"/>
        </w:rPr>
        <w:footnoteReference w:id="14"/>
      </w:r>
      <w:r w:rsidR="00A4147B" w:rsidRPr="004451F9">
        <w:rPr>
          <w:rFonts w:cs="Times New Roman"/>
          <w:sz w:val="24"/>
          <w:szCs w:val="24"/>
        </w:rPr>
        <w:t xml:space="preserve"> They also both face specific challenges with societal divisions and how best to deal with those divisions politically. In the case of Turkey, the division centers on religious expression and its place in politics</w:t>
      </w:r>
      <w:r w:rsidR="0046082D" w:rsidRPr="004451F9">
        <w:rPr>
          <w:rFonts w:cs="Times New Roman"/>
          <w:sz w:val="24"/>
          <w:szCs w:val="24"/>
        </w:rPr>
        <w:t>,</w:t>
      </w:r>
      <w:r w:rsidR="00735761" w:rsidRPr="004451F9">
        <w:rPr>
          <w:rStyle w:val="FootnoteReference"/>
          <w:rFonts w:cs="Times New Roman"/>
          <w:sz w:val="24"/>
          <w:szCs w:val="24"/>
        </w:rPr>
        <w:footnoteReference w:id="15"/>
      </w:r>
      <w:r w:rsidR="00A4147B" w:rsidRPr="004451F9">
        <w:rPr>
          <w:rFonts w:cs="Times New Roman"/>
          <w:sz w:val="24"/>
          <w:szCs w:val="24"/>
        </w:rPr>
        <w:t xml:space="preserve"> </w:t>
      </w:r>
      <w:r w:rsidR="0046082D" w:rsidRPr="004451F9">
        <w:rPr>
          <w:rFonts w:cs="Times New Roman"/>
          <w:sz w:val="24"/>
          <w:szCs w:val="24"/>
        </w:rPr>
        <w:t xml:space="preserve">although divisions with ethnic minorities have also surfaced with Turkey's Kurdish population. </w:t>
      </w:r>
      <w:r w:rsidR="00A4147B" w:rsidRPr="004451F9">
        <w:rPr>
          <w:rFonts w:cs="Times New Roman"/>
          <w:sz w:val="24"/>
          <w:szCs w:val="24"/>
        </w:rPr>
        <w:t>In the case of South Africa, problems center on ethnic divisions caused both by South Africa's cultural diversity and its apartheid past.</w:t>
      </w:r>
      <w:r w:rsidR="00B9660B" w:rsidRPr="004451F9">
        <w:rPr>
          <w:rFonts w:cs="Times New Roman"/>
          <w:sz w:val="24"/>
          <w:szCs w:val="24"/>
        </w:rPr>
        <w:t xml:space="preserve"> Both of the transitions to democracy were also effectuated with well-established political infrastructure already in place from prior regimes.</w:t>
      </w:r>
      <w:r w:rsidR="00B9660B" w:rsidRPr="004451F9">
        <w:rPr>
          <w:rStyle w:val="FootnoteReference"/>
          <w:rFonts w:cs="Times New Roman"/>
          <w:sz w:val="24"/>
          <w:szCs w:val="24"/>
        </w:rPr>
        <w:footnoteReference w:id="16"/>
      </w:r>
    </w:p>
    <w:p w:rsidR="00735761" w:rsidRPr="004451F9" w:rsidRDefault="00735761" w:rsidP="00B35AC7">
      <w:pPr>
        <w:spacing w:after="0" w:line="480" w:lineRule="auto"/>
        <w:ind w:firstLine="720"/>
        <w:rPr>
          <w:rFonts w:cs="Times New Roman"/>
          <w:sz w:val="24"/>
          <w:szCs w:val="24"/>
        </w:rPr>
      </w:pPr>
      <w:r w:rsidRPr="004451F9">
        <w:rPr>
          <w:rFonts w:cs="Times New Roman"/>
          <w:sz w:val="24"/>
          <w:szCs w:val="24"/>
        </w:rPr>
        <w:t>There are, however, significant differences betw</w:t>
      </w:r>
      <w:r w:rsidR="0046082D" w:rsidRPr="004451F9">
        <w:rPr>
          <w:rFonts w:cs="Times New Roman"/>
          <w:sz w:val="24"/>
          <w:szCs w:val="24"/>
        </w:rPr>
        <w:t xml:space="preserve">een these two countries </w:t>
      </w:r>
      <w:r w:rsidRPr="004451F9">
        <w:rPr>
          <w:rFonts w:cs="Times New Roman"/>
          <w:sz w:val="24"/>
          <w:szCs w:val="24"/>
        </w:rPr>
        <w:t>that require mentioning. First of all, although both countries transitioned to democracy from authoritarian regime</w:t>
      </w:r>
      <w:r w:rsidR="0046082D" w:rsidRPr="004451F9">
        <w:rPr>
          <w:rFonts w:cs="Times New Roman"/>
          <w:sz w:val="24"/>
          <w:szCs w:val="24"/>
        </w:rPr>
        <w:t>s, Turkey never suffered</w:t>
      </w:r>
      <w:r w:rsidRPr="004451F9">
        <w:rPr>
          <w:rFonts w:cs="Times New Roman"/>
          <w:sz w:val="24"/>
          <w:szCs w:val="24"/>
        </w:rPr>
        <w:t xml:space="preserve"> periods of colonialism from imperialistic powers</w:t>
      </w:r>
      <w:r w:rsidR="001B4CAC" w:rsidRPr="004451F9">
        <w:rPr>
          <w:rFonts w:cs="Times New Roman"/>
          <w:sz w:val="24"/>
          <w:szCs w:val="24"/>
        </w:rPr>
        <w:t>,</w:t>
      </w:r>
      <w:r w:rsidR="00A925AD" w:rsidRPr="004451F9">
        <w:rPr>
          <w:rStyle w:val="FootnoteReference"/>
          <w:rFonts w:cs="Times New Roman"/>
          <w:sz w:val="24"/>
          <w:szCs w:val="24"/>
        </w:rPr>
        <w:footnoteReference w:id="17"/>
      </w:r>
      <w:r w:rsidRPr="004451F9">
        <w:rPr>
          <w:rFonts w:cs="Times New Roman"/>
          <w:sz w:val="24"/>
          <w:szCs w:val="24"/>
        </w:rPr>
        <w:t xml:space="preserve"> whereas South Africa was one of the last African countries to shed the shackles of its colonial heritage and suffered great consequences in the form of apartheid because of it</w:t>
      </w:r>
      <w:r w:rsidR="00B9660B" w:rsidRPr="004451F9">
        <w:rPr>
          <w:rFonts w:cs="Times New Roman"/>
          <w:sz w:val="24"/>
          <w:szCs w:val="24"/>
        </w:rPr>
        <w:t>.</w:t>
      </w:r>
      <w:r w:rsidR="00B9660B" w:rsidRPr="004451F9">
        <w:rPr>
          <w:rStyle w:val="FootnoteReference"/>
          <w:rFonts w:cs="Times New Roman"/>
          <w:sz w:val="24"/>
          <w:szCs w:val="24"/>
        </w:rPr>
        <w:footnoteReference w:id="18"/>
      </w:r>
      <w:r w:rsidR="00482319" w:rsidRPr="004451F9">
        <w:rPr>
          <w:rFonts w:cs="Times New Roman"/>
          <w:sz w:val="24"/>
          <w:szCs w:val="24"/>
        </w:rPr>
        <w:t xml:space="preserve"> Consequently, Turkey </w:t>
      </w:r>
      <w:r w:rsidR="00482319" w:rsidRPr="004451F9">
        <w:rPr>
          <w:rFonts w:cs="Times New Roman"/>
          <w:sz w:val="24"/>
          <w:szCs w:val="24"/>
        </w:rPr>
        <w:lastRenderedPageBreak/>
        <w:t>has labored under various democratic regimes for many decades</w:t>
      </w:r>
      <w:r w:rsidR="00CD4C3A" w:rsidRPr="004451F9">
        <w:rPr>
          <w:rFonts w:cs="Times New Roman"/>
          <w:sz w:val="24"/>
          <w:szCs w:val="24"/>
        </w:rPr>
        <w:t>,</w:t>
      </w:r>
      <w:r w:rsidR="00482319" w:rsidRPr="004451F9">
        <w:rPr>
          <w:rStyle w:val="FootnoteReference"/>
          <w:rFonts w:cs="Times New Roman"/>
          <w:sz w:val="24"/>
          <w:szCs w:val="24"/>
        </w:rPr>
        <w:footnoteReference w:id="19"/>
      </w:r>
      <w:r w:rsidR="00482319" w:rsidRPr="004451F9">
        <w:rPr>
          <w:rFonts w:cs="Times New Roman"/>
          <w:sz w:val="24"/>
          <w:szCs w:val="24"/>
        </w:rPr>
        <w:t xml:space="preserve"> while South Africa has only experienced completely open elections since 1994.</w:t>
      </w:r>
      <w:r w:rsidR="00CD4C3A" w:rsidRPr="004451F9">
        <w:rPr>
          <w:rStyle w:val="FootnoteReference"/>
          <w:rFonts w:cs="Times New Roman"/>
          <w:sz w:val="24"/>
          <w:szCs w:val="24"/>
        </w:rPr>
        <w:footnoteReference w:id="20"/>
      </w:r>
      <w:r w:rsidR="00482319" w:rsidRPr="004451F9">
        <w:rPr>
          <w:rFonts w:cs="Times New Roman"/>
          <w:sz w:val="24"/>
          <w:szCs w:val="24"/>
        </w:rPr>
        <w:t xml:space="preserve"> The particular social divisions that the two countries encounter are different from each other, although not unique in terms of the types of social divisions typically encountered by nascent or even established democracies. </w:t>
      </w:r>
      <w:r w:rsidR="00270342" w:rsidRPr="004451F9">
        <w:rPr>
          <w:rFonts w:cs="Times New Roman"/>
          <w:sz w:val="24"/>
          <w:szCs w:val="24"/>
        </w:rPr>
        <w:t xml:space="preserve">Turkey has experienced, however, a number of internal military interventions in </w:t>
      </w:r>
      <w:r w:rsidR="00364563" w:rsidRPr="004451F9">
        <w:rPr>
          <w:rFonts w:cs="Times New Roman"/>
          <w:sz w:val="24"/>
          <w:szCs w:val="24"/>
        </w:rPr>
        <w:t>its</w:t>
      </w:r>
      <w:r w:rsidR="00270342" w:rsidRPr="004451F9">
        <w:rPr>
          <w:rFonts w:cs="Times New Roman"/>
          <w:sz w:val="24"/>
          <w:szCs w:val="24"/>
        </w:rPr>
        <w:t xml:space="preserve"> democratic governance, although each intervention was relatively short and ultimately led to the return of the country to civil democratic hands.</w:t>
      </w:r>
      <w:r w:rsidR="00270342" w:rsidRPr="004451F9">
        <w:rPr>
          <w:rStyle w:val="FootnoteReference"/>
          <w:rFonts w:cs="Times New Roman"/>
          <w:sz w:val="24"/>
          <w:szCs w:val="24"/>
        </w:rPr>
        <w:footnoteReference w:id="21"/>
      </w:r>
      <w:r w:rsidR="0035691E" w:rsidRPr="004451F9">
        <w:rPr>
          <w:rFonts w:cs="Times New Roman"/>
          <w:sz w:val="24"/>
          <w:szCs w:val="24"/>
        </w:rPr>
        <w:t xml:space="preserve"> Although South Africa has not experienced military interventions, the majority of its people did suffer extreme oppression under apartheid for more than forty years and less formalized oppression for much longer</w:t>
      </w:r>
      <w:r w:rsidR="0046082D" w:rsidRPr="004451F9">
        <w:rPr>
          <w:rFonts w:cs="Times New Roman"/>
          <w:sz w:val="24"/>
          <w:szCs w:val="24"/>
        </w:rPr>
        <w:t>.</w:t>
      </w:r>
      <w:r w:rsidR="0035691E" w:rsidRPr="004451F9">
        <w:rPr>
          <w:rStyle w:val="FootnoteReference"/>
          <w:rFonts w:cs="Times New Roman"/>
          <w:sz w:val="24"/>
          <w:szCs w:val="24"/>
        </w:rPr>
        <w:footnoteReference w:id="22"/>
      </w:r>
      <w:r w:rsidR="005B23A4" w:rsidRPr="004451F9">
        <w:rPr>
          <w:rFonts w:cs="Times New Roman"/>
          <w:sz w:val="24"/>
          <w:szCs w:val="24"/>
        </w:rPr>
        <w:t xml:space="preserve"> Ultimately, the two countries are ripe for research because of their success at democratization relative to their peer states and also because the challenges they still face with social division over religious and ethnic issues are common challenges to democracies, particularly transitional ones.</w:t>
      </w:r>
    </w:p>
    <w:p w:rsidR="005B23A4" w:rsidRPr="004451F9" w:rsidRDefault="005431C2" w:rsidP="00B35AC7">
      <w:pPr>
        <w:spacing w:after="0" w:line="480" w:lineRule="auto"/>
        <w:ind w:firstLine="720"/>
        <w:rPr>
          <w:rFonts w:cs="Times New Roman"/>
          <w:sz w:val="24"/>
          <w:szCs w:val="24"/>
        </w:rPr>
      </w:pPr>
      <w:r w:rsidRPr="004451F9">
        <w:rPr>
          <w:rFonts w:cs="Times New Roman"/>
          <w:sz w:val="24"/>
          <w:szCs w:val="24"/>
        </w:rPr>
        <w:t xml:space="preserve">This paper analyzes </w:t>
      </w:r>
      <w:r w:rsidR="00CD1EB1" w:rsidRPr="004451F9">
        <w:rPr>
          <w:rFonts w:cs="Times New Roman"/>
          <w:sz w:val="24"/>
          <w:szCs w:val="24"/>
        </w:rPr>
        <w:t>Turkey and South Africa separately in turn and then conclude</w:t>
      </w:r>
      <w:r w:rsidRPr="004451F9">
        <w:rPr>
          <w:rFonts w:cs="Times New Roman"/>
          <w:sz w:val="24"/>
          <w:szCs w:val="24"/>
        </w:rPr>
        <w:t>s</w:t>
      </w:r>
      <w:r w:rsidR="00CD1EB1" w:rsidRPr="004451F9">
        <w:rPr>
          <w:rFonts w:cs="Times New Roman"/>
          <w:sz w:val="24"/>
          <w:szCs w:val="24"/>
        </w:rPr>
        <w:t xml:space="preserve"> with some comparative observations about the relative success or failure of their efforts at democratization. </w:t>
      </w:r>
      <w:r w:rsidR="005B23A4" w:rsidRPr="004451F9">
        <w:rPr>
          <w:rFonts w:cs="Times New Roman"/>
          <w:sz w:val="24"/>
          <w:szCs w:val="24"/>
        </w:rPr>
        <w:t>In analyzing any country's transition to democracy, it is, of course, important to understand the historical context and social, cultural, and political impetuses that fomented democratization and then nurtured or inhibited that growth. Thus, analysis of each country will begin with a summary of these factors to appropriately c</w:t>
      </w:r>
      <w:r w:rsidR="00CD1EB1" w:rsidRPr="004451F9">
        <w:rPr>
          <w:rFonts w:cs="Times New Roman"/>
          <w:sz w:val="24"/>
          <w:szCs w:val="24"/>
        </w:rPr>
        <w:t xml:space="preserve">ontextualize their transitions. Secondly, because the crux of this paper is the systemic features, particularly the constitutional facets, that </w:t>
      </w:r>
      <w:r w:rsidR="00CD1EB1" w:rsidRPr="004451F9">
        <w:rPr>
          <w:rFonts w:cs="Times New Roman"/>
          <w:sz w:val="24"/>
          <w:szCs w:val="24"/>
        </w:rPr>
        <w:lastRenderedPageBreak/>
        <w:t xml:space="preserve">encourage or discourage democratization through the vehicle of political parties, each country's analysis will then proceed with a review of the constitutional and legal rights and limitations affecting their political parties. Particular attention will be paid to party formation and dissolution, </w:t>
      </w:r>
      <w:r w:rsidR="00A17F71" w:rsidRPr="004451F9">
        <w:rPr>
          <w:rFonts w:cs="Times New Roman"/>
          <w:sz w:val="24"/>
          <w:szCs w:val="24"/>
        </w:rPr>
        <w:t>the range of political expression allowed, the ability of parties to truly represent their constituencies, and factors affecting the ability of parties to effectively compete with each other, such as laws governing party funding. The paper will conclude with a comparative review of how the two countries address similar problems, how they deal with unique problems, and the relative success of their approaches.</w:t>
      </w:r>
    </w:p>
    <w:p w:rsidR="00A17F71" w:rsidRPr="004451F9" w:rsidRDefault="00B35AC7" w:rsidP="00B35AC7">
      <w:pPr>
        <w:spacing w:after="0" w:line="480" w:lineRule="auto"/>
        <w:jc w:val="center"/>
        <w:rPr>
          <w:rFonts w:cs="Times New Roman"/>
          <w:smallCaps/>
          <w:sz w:val="24"/>
          <w:szCs w:val="24"/>
        </w:rPr>
      </w:pPr>
      <w:r w:rsidRPr="004451F9">
        <w:rPr>
          <w:rFonts w:cs="Times New Roman"/>
          <w:smallCaps/>
          <w:sz w:val="24"/>
          <w:szCs w:val="24"/>
        </w:rPr>
        <w:t xml:space="preserve">I. </w:t>
      </w:r>
      <w:r w:rsidR="00A17F71" w:rsidRPr="004451F9">
        <w:rPr>
          <w:rFonts w:cs="Times New Roman"/>
          <w:smallCaps/>
          <w:sz w:val="24"/>
          <w:szCs w:val="24"/>
        </w:rPr>
        <w:t>T</w:t>
      </w:r>
      <w:r w:rsidRPr="004451F9">
        <w:rPr>
          <w:rFonts w:cs="Times New Roman"/>
          <w:smallCaps/>
          <w:sz w:val="24"/>
          <w:szCs w:val="24"/>
        </w:rPr>
        <w:t>he Republic of T</w:t>
      </w:r>
      <w:r w:rsidR="00A17F71" w:rsidRPr="004451F9">
        <w:rPr>
          <w:rFonts w:cs="Times New Roman"/>
          <w:smallCaps/>
          <w:sz w:val="24"/>
          <w:szCs w:val="24"/>
        </w:rPr>
        <w:t>urkey</w:t>
      </w:r>
    </w:p>
    <w:p w:rsidR="002A6DD4" w:rsidRPr="004451F9" w:rsidRDefault="00A74D59" w:rsidP="00B35AC7">
      <w:pPr>
        <w:spacing w:after="0" w:line="480" w:lineRule="auto"/>
        <w:ind w:firstLine="720"/>
        <w:rPr>
          <w:rFonts w:cs="Times New Roman"/>
          <w:i/>
          <w:sz w:val="24"/>
          <w:szCs w:val="24"/>
        </w:rPr>
      </w:pPr>
      <w:r w:rsidRPr="004451F9">
        <w:rPr>
          <w:rFonts w:cs="Times New Roman"/>
          <w:sz w:val="24"/>
          <w:szCs w:val="24"/>
        </w:rPr>
        <w:t xml:space="preserve">In order to fully understand the unique modern political landscape of Turkey, it is necessary to know something about the social, cultural, and political forces that forged the </w:t>
      </w:r>
      <w:r w:rsidR="0046082D" w:rsidRPr="004451F9">
        <w:rPr>
          <w:rFonts w:cs="Times New Roman"/>
          <w:sz w:val="24"/>
          <w:szCs w:val="24"/>
        </w:rPr>
        <w:t>country</w:t>
      </w:r>
      <w:r w:rsidRPr="004451F9">
        <w:rPr>
          <w:rFonts w:cs="Times New Roman"/>
          <w:sz w:val="24"/>
          <w:szCs w:val="24"/>
        </w:rPr>
        <w:t xml:space="preserve">. </w:t>
      </w:r>
      <w:r w:rsidR="00CA3D20" w:rsidRPr="004451F9">
        <w:rPr>
          <w:rFonts w:cs="Times New Roman"/>
          <w:sz w:val="24"/>
          <w:szCs w:val="24"/>
        </w:rPr>
        <w:t xml:space="preserve">Turkey sits at the crossroads </w:t>
      </w:r>
      <w:r w:rsidR="0046082D" w:rsidRPr="004451F9">
        <w:rPr>
          <w:rFonts w:cs="Times New Roman"/>
          <w:sz w:val="24"/>
          <w:szCs w:val="24"/>
        </w:rPr>
        <w:t>of</w:t>
      </w:r>
      <w:r w:rsidR="00CA3D20" w:rsidRPr="004451F9">
        <w:rPr>
          <w:rFonts w:cs="Times New Roman"/>
          <w:sz w:val="24"/>
          <w:szCs w:val="24"/>
        </w:rPr>
        <w:t xml:space="preserve"> what is traditionally thought of as East and West, with Greece, a cradle of Western civilization, on its Western border, and Iraq, Syria, and Iran on its southern and eastern borders. </w:t>
      </w:r>
      <w:r w:rsidR="002A6DD4" w:rsidRPr="004451F9">
        <w:rPr>
          <w:rFonts w:cs="Times New Roman"/>
          <w:sz w:val="24"/>
          <w:szCs w:val="24"/>
        </w:rPr>
        <w:t>Conseq</w:t>
      </w:r>
      <w:r w:rsidR="005431C2" w:rsidRPr="004451F9">
        <w:rPr>
          <w:rFonts w:cs="Times New Roman"/>
          <w:sz w:val="24"/>
          <w:szCs w:val="24"/>
        </w:rPr>
        <w:t xml:space="preserve">uently, although Turkey was committed to religious rule </w:t>
      </w:r>
      <w:r w:rsidR="0046082D" w:rsidRPr="004451F9">
        <w:rPr>
          <w:rFonts w:cs="Times New Roman"/>
          <w:sz w:val="24"/>
          <w:szCs w:val="24"/>
        </w:rPr>
        <w:t>while</w:t>
      </w:r>
      <w:r w:rsidR="005431C2" w:rsidRPr="004451F9">
        <w:rPr>
          <w:rFonts w:cs="Times New Roman"/>
          <w:sz w:val="24"/>
          <w:szCs w:val="24"/>
        </w:rPr>
        <w:t xml:space="preserve"> part of the Ottoman Empire</w:t>
      </w:r>
      <w:r w:rsidR="002A6DD4" w:rsidRPr="004451F9">
        <w:rPr>
          <w:rFonts w:cs="Times New Roman"/>
          <w:sz w:val="24"/>
          <w:szCs w:val="24"/>
        </w:rPr>
        <w:t>, Western influences pushed Turkey toward political independence in both posit</w:t>
      </w:r>
      <w:r w:rsidR="005431C2" w:rsidRPr="004451F9">
        <w:rPr>
          <w:rFonts w:cs="Times New Roman"/>
          <w:sz w:val="24"/>
          <w:szCs w:val="24"/>
        </w:rPr>
        <w:t xml:space="preserve">ive and negative ways. </w:t>
      </w:r>
      <w:r w:rsidR="002A6DD4" w:rsidRPr="004451F9">
        <w:rPr>
          <w:rFonts w:cs="Times New Roman"/>
          <w:sz w:val="24"/>
          <w:szCs w:val="24"/>
        </w:rPr>
        <w:t xml:space="preserve">Turkey </w:t>
      </w:r>
      <w:r w:rsidR="00104CD1" w:rsidRPr="004451F9">
        <w:rPr>
          <w:rFonts w:cs="Times New Roman"/>
          <w:sz w:val="24"/>
          <w:szCs w:val="24"/>
        </w:rPr>
        <w:t>is now considered to have</w:t>
      </w:r>
      <w:r w:rsidR="002A6DD4" w:rsidRPr="004451F9">
        <w:rPr>
          <w:rFonts w:cs="Times New Roman"/>
          <w:sz w:val="24"/>
          <w:szCs w:val="24"/>
        </w:rPr>
        <w:t xml:space="preserve"> more democratic attributes than any other Middle Eastern or majority-Muslim country</w:t>
      </w:r>
      <w:r w:rsidR="001A5663" w:rsidRPr="004451F9">
        <w:rPr>
          <w:rStyle w:val="FootnoteReference"/>
          <w:rFonts w:cs="Times New Roman"/>
          <w:sz w:val="24"/>
          <w:szCs w:val="24"/>
        </w:rPr>
        <w:footnoteReference w:id="23"/>
      </w:r>
      <w:r w:rsidR="002A6DD4" w:rsidRPr="004451F9">
        <w:rPr>
          <w:rFonts w:cs="Times New Roman"/>
          <w:sz w:val="24"/>
          <w:szCs w:val="24"/>
        </w:rPr>
        <w:t xml:space="preserve"> – it has even applied for membership in the European Union</w:t>
      </w:r>
      <w:r w:rsidR="005431C2" w:rsidRPr="004451F9">
        <w:rPr>
          <w:rFonts w:cs="Times New Roman"/>
          <w:sz w:val="24"/>
          <w:szCs w:val="24"/>
        </w:rPr>
        <w:t>.</w:t>
      </w:r>
      <w:r w:rsidR="001A5663" w:rsidRPr="004451F9">
        <w:rPr>
          <w:rStyle w:val="FootnoteReference"/>
          <w:rFonts w:cs="Times New Roman"/>
          <w:sz w:val="24"/>
          <w:szCs w:val="24"/>
        </w:rPr>
        <w:footnoteReference w:id="24"/>
      </w:r>
      <w:r w:rsidR="005431C2" w:rsidRPr="004451F9">
        <w:rPr>
          <w:rFonts w:cs="Times New Roman"/>
          <w:sz w:val="24"/>
          <w:szCs w:val="24"/>
        </w:rPr>
        <w:t xml:space="preserve"> S</w:t>
      </w:r>
      <w:r w:rsidR="00616B7E" w:rsidRPr="004451F9">
        <w:rPr>
          <w:rFonts w:cs="Times New Roman"/>
          <w:sz w:val="24"/>
          <w:szCs w:val="24"/>
        </w:rPr>
        <w:t xml:space="preserve">ome of the means by which Turkey </w:t>
      </w:r>
      <w:r w:rsidR="005431C2" w:rsidRPr="004451F9">
        <w:rPr>
          <w:rFonts w:cs="Times New Roman"/>
          <w:sz w:val="24"/>
          <w:szCs w:val="24"/>
        </w:rPr>
        <w:t>has sought</w:t>
      </w:r>
      <w:r w:rsidR="00616B7E" w:rsidRPr="004451F9">
        <w:rPr>
          <w:rFonts w:cs="Times New Roman"/>
          <w:sz w:val="24"/>
          <w:szCs w:val="24"/>
        </w:rPr>
        <w:t xml:space="preserve"> democracy</w:t>
      </w:r>
      <w:r w:rsidR="005431C2" w:rsidRPr="004451F9">
        <w:rPr>
          <w:rFonts w:cs="Times New Roman"/>
          <w:sz w:val="24"/>
          <w:szCs w:val="24"/>
        </w:rPr>
        <w:t xml:space="preserve">, however, are arguably not so </w:t>
      </w:r>
      <w:r w:rsidR="00616B7E" w:rsidRPr="004451F9">
        <w:rPr>
          <w:rFonts w:cs="Times New Roman"/>
          <w:sz w:val="24"/>
          <w:szCs w:val="24"/>
        </w:rPr>
        <w:t>democratic.</w:t>
      </w:r>
      <w:r w:rsidR="005431C2" w:rsidRPr="004451F9">
        <w:rPr>
          <w:rFonts w:cs="Times New Roman"/>
          <w:sz w:val="24"/>
          <w:szCs w:val="24"/>
        </w:rPr>
        <w:t xml:space="preserve"> Turkey has experienced a series of military interventions in response to political violence, swung between periods of single party aut</w:t>
      </w:r>
      <w:r w:rsidR="00364563" w:rsidRPr="004451F9">
        <w:rPr>
          <w:rFonts w:cs="Times New Roman"/>
          <w:sz w:val="24"/>
          <w:szCs w:val="24"/>
        </w:rPr>
        <w:t xml:space="preserve">horitarian dominance and </w:t>
      </w:r>
      <w:r w:rsidR="005431C2" w:rsidRPr="004451F9">
        <w:rPr>
          <w:rFonts w:cs="Times New Roman"/>
          <w:sz w:val="24"/>
          <w:szCs w:val="24"/>
        </w:rPr>
        <w:t xml:space="preserve">political fragmentation, and used nationalism and secularism in </w:t>
      </w:r>
      <w:r w:rsidR="005431C2" w:rsidRPr="004451F9">
        <w:rPr>
          <w:rFonts w:cs="Times New Roman"/>
          <w:sz w:val="24"/>
          <w:szCs w:val="24"/>
        </w:rPr>
        <w:lastRenderedPageBreak/>
        <w:t>extreme ways at times to oppress minority political groups.</w:t>
      </w:r>
      <w:r w:rsidR="00616B7E" w:rsidRPr="004451F9">
        <w:rPr>
          <w:rFonts w:cs="Times New Roman"/>
          <w:sz w:val="24"/>
          <w:szCs w:val="24"/>
        </w:rPr>
        <w:t xml:space="preserve"> Turkey's historical influences</w:t>
      </w:r>
      <w:r w:rsidR="0046082D" w:rsidRPr="004451F9">
        <w:rPr>
          <w:rFonts w:cs="Times New Roman"/>
          <w:sz w:val="24"/>
          <w:szCs w:val="24"/>
        </w:rPr>
        <w:t>,</w:t>
      </w:r>
      <w:r w:rsidR="00104CD1" w:rsidRPr="004451F9">
        <w:rPr>
          <w:rFonts w:cs="Times New Roman"/>
          <w:sz w:val="24"/>
          <w:szCs w:val="24"/>
        </w:rPr>
        <w:t xml:space="preserve"> especi</w:t>
      </w:r>
      <w:r w:rsidR="00364563" w:rsidRPr="004451F9">
        <w:rPr>
          <w:rFonts w:cs="Times New Roman"/>
          <w:sz w:val="24"/>
          <w:szCs w:val="24"/>
        </w:rPr>
        <w:t xml:space="preserve">ally those of </w:t>
      </w:r>
      <w:r w:rsidR="0046082D" w:rsidRPr="004451F9">
        <w:rPr>
          <w:rFonts w:cs="Times New Roman"/>
          <w:sz w:val="24"/>
          <w:szCs w:val="24"/>
        </w:rPr>
        <w:t xml:space="preserve">its founder, </w:t>
      </w:r>
      <w:r w:rsidR="00616B7E" w:rsidRPr="004451F9">
        <w:rPr>
          <w:rFonts w:cs="Times New Roman"/>
          <w:sz w:val="24"/>
          <w:szCs w:val="24"/>
        </w:rPr>
        <w:t xml:space="preserve">inform </w:t>
      </w:r>
      <w:r w:rsidR="00104CD1" w:rsidRPr="004451F9">
        <w:rPr>
          <w:rFonts w:cs="Times New Roman"/>
          <w:sz w:val="24"/>
          <w:szCs w:val="24"/>
        </w:rPr>
        <w:t xml:space="preserve">its political evolution and </w:t>
      </w:r>
      <w:r w:rsidR="00616B7E" w:rsidRPr="004451F9">
        <w:rPr>
          <w:rFonts w:cs="Times New Roman"/>
          <w:sz w:val="24"/>
          <w:szCs w:val="24"/>
        </w:rPr>
        <w:t xml:space="preserve">the way it </w:t>
      </w:r>
      <w:r w:rsidR="005431C2" w:rsidRPr="004451F9">
        <w:rPr>
          <w:rFonts w:cs="Times New Roman"/>
          <w:sz w:val="24"/>
          <w:szCs w:val="24"/>
        </w:rPr>
        <w:t>parses political</w:t>
      </w:r>
      <w:r w:rsidR="00616B7E" w:rsidRPr="004451F9">
        <w:rPr>
          <w:rFonts w:cs="Times New Roman"/>
          <w:sz w:val="24"/>
          <w:szCs w:val="24"/>
        </w:rPr>
        <w:t xml:space="preserve"> power today.</w:t>
      </w:r>
    </w:p>
    <w:p w:rsidR="0031448B" w:rsidRDefault="0031448B" w:rsidP="00B35AC7">
      <w:pPr>
        <w:spacing w:after="0" w:line="480" w:lineRule="auto"/>
        <w:rPr>
          <w:rFonts w:cs="Times New Roman"/>
          <w:sz w:val="24"/>
          <w:szCs w:val="24"/>
        </w:rPr>
      </w:pPr>
    </w:p>
    <w:p w:rsidR="0031448B" w:rsidRDefault="0031448B" w:rsidP="00B35AC7">
      <w:pPr>
        <w:spacing w:after="0" w:line="480" w:lineRule="auto"/>
        <w:rPr>
          <w:rFonts w:cs="Times New Roman"/>
          <w:sz w:val="24"/>
          <w:szCs w:val="24"/>
        </w:rPr>
      </w:pPr>
    </w:p>
    <w:p w:rsidR="0031448B" w:rsidRDefault="0031448B" w:rsidP="00B35AC7">
      <w:pPr>
        <w:spacing w:after="0" w:line="480" w:lineRule="auto"/>
        <w:rPr>
          <w:rFonts w:cs="Times New Roman"/>
          <w:sz w:val="24"/>
          <w:szCs w:val="24"/>
        </w:rPr>
      </w:pPr>
    </w:p>
    <w:p w:rsidR="00863B83" w:rsidRPr="004451F9" w:rsidRDefault="00863B83" w:rsidP="00B35AC7">
      <w:pPr>
        <w:spacing w:after="0" w:line="480" w:lineRule="auto"/>
        <w:rPr>
          <w:rFonts w:cs="Times New Roman"/>
          <w:sz w:val="24"/>
          <w:szCs w:val="24"/>
        </w:rPr>
      </w:pPr>
      <w:r w:rsidRPr="004451F9">
        <w:rPr>
          <w:rFonts w:cs="Times New Roman"/>
          <w:sz w:val="24"/>
          <w:szCs w:val="24"/>
        </w:rPr>
        <w:t xml:space="preserve">A. </w:t>
      </w:r>
      <w:r w:rsidRPr="004451F9">
        <w:rPr>
          <w:rFonts w:cs="Times New Roman"/>
          <w:i/>
          <w:sz w:val="24"/>
          <w:szCs w:val="24"/>
        </w:rPr>
        <w:t>Turkey: History and Origins of Political Parties</w:t>
      </w:r>
    </w:p>
    <w:p w:rsidR="001316BD" w:rsidRPr="004451F9" w:rsidRDefault="00884C57" w:rsidP="00B35AC7">
      <w:pPr>
        <w:spacing w:after="0" w:line="480" w:lineRule="auto"/>
        <w:ind w:firstLine="720"/>
        <w:rPr>
          <w:rFonts w:cs="Times New Roman"/>
          <w:sz w:val="24"/>
          <w:szCs w:val="24"/>
        </w:rPr>
      </w:pPr>
      <w:r w:rsidRPr="004451F9">
        <w:rPr>
          <w:rFonts w:cs="Times New Roman"/>
          <w:sz w:val="24"/>
          <w:szCs w:val="24"/>
        </w:rPr>
        <w:t>O</w:t>
      </w:r>
      <w:r w:rsidR="00CA3D20" w:rsidRPr="004451F9">
        <w:rPr>
          <w:rFonts w:cs="Times New Roman"/>
          <w:sz w:val="24"/>
          <w:szCs w:val="24"/>
        </w:rPr>
        <w:t xml:space="preserve">riginally </w:t>
      </w:r>
      <w:r w:rsidRPr="004451F9">
        <w:rPr>
          <w:rFonts w:cs="Times New Roman"/>
          <w:sz w:val="24"/>
          <w:szCs w:val="24"/>
        </w:rPr>
        <w:t xml:space="preserve">as </w:t>
      </w:r>
      <w:r w:rsidR="00CA3D20" w:rsidRPr="004451F9">
        <w:rPr>
          <w:rFonts w:cs="Times New Roman"/>
          <w:sz w:val="24"/>
          <w:szCs w:val="24"/>
        </w:rPr>
        <w:t>the heart of the Ottoman Empire and its hub</w:t>
      </w:r>
      <w:r w:rsidRPr="004451F9">
        <w:rPr>
          <w:rFonts w:cs="Times New Roman"/>
          <w:sz w:val="24"/>
          <w:szCs w:val="24"/>
        </w:rPr>
        <w:t>,</w:t>
      </w:r>
      <w:r w:rsidR="00CA3D20" w:rsidRPr="004451F9">
        <w:rPr>
          <w:rStyle w:val="FootnoteReference"/>
          <w:rFonts w:cs="Times New Roman"/>
          <w:sz w:val="24"/>
          <w:szCs w:val="24"/>
        </w:rPr>
        <w:footnoteReference w:id="25"/>
      </w:r>
      <w:r w:rsidR="00CA3D20" w:rsidRPr="004451F9">
        <w:rPr>
          <w:rFonts w:cs="Times New Roman"/>
          <w:sz w:val="24"/>
          <w:szCs w:val="24"/>
        </w:rPr>
        <w:t xml:space="preserve"> T</w:t>
      </w:r>
      <w:r w:rsidRPr="004451F9">
        <w:rPr>
          <w:rFonts w:cs="Times New Roman"/>
          <w:sz w:val="24"/>
          <w:szCs w:val="24"/>
        </w:rPr>
        <w:t xml:space="preserve">urkey </w:t>
      </w:r>
      <w:r w:rsidR="00864929" w:rsidRPr="004451F9">
        <w:rPr>
          <w:rFonts w:cs="Times New Roman"/>
          <w:sz w:val="24"/>
          <w:szCs w:val="24"/>
        </w:rPr>
        <w:t>was ruled by Sultans (monarchs) who, starting in 1517, were also self-proclaimed Caliphs (successors to the Muslim Prophet)</w:t>
      </w:r>
      <w:r w:rsidR="00581F27" w:rsidRPr="004451F9">
        <w:rPr>
          <w:rFonts w:cs="Times New Roman"/>
          <w:sz w:val="24"/>
          <w:szCs w:val="24"/>
        </w:rPr>
        <w:t>.</w:t>
      </w:r>
      <w:r w:rsidR="00581F27" w:rsidRPr="004451F9">
        <w:rPr>
          <w:rStyle w:val="FootnoteReference"/>
          <w:rFonts w:cs="Times New Roman"/>
          <w:sz w:val="24"/>
          <w:szCs w:val="24"/>
        </w:rPr>
        <w:footnoteReference w:id="26"/>
      </w:r>
      <w:r w:rsidR="00581F27" w:rsidRPr="004451F9">
        <w:rPr>
          <w:rFonts w:cs="Times New Roman"/>
          <w:sz w:val="24"/>
          <w:szCs w:val="24"/>
        </w:rPr>
        <w:t xml:space="preserve"> </w:t>
      </w:r>
      <w:r w:rsidRPr="004451F9">
        <w:rPr>
          <w:rFonts w:cs="Times New Roman"/>
          <w:sz w:val="24"/>
          <w:szCs w:val="24"/>
        </w:rPr>
        <w:t>However, the Ottoman Empire at its height encompassed all of the Mediterranean coast from Greece to all of north Africa, Egypt, the coast of the Red Sea, a deep section of the Middle East extending to the Persian Gulf, and land north to Russia</w:t>
      </w:r>
      <w:r w:rsidR="00364563" w:rsidRPr="004451F9">
        <w:rPr>
          <w:rFonts w:cs="Times New Roman"/>
          <w:sz w:val="24"/>
          <w:szCs w:val="24"/>
        </w:rPr>
        <w:t xml:space="preserve">. </w:t>
      </w:r>
      <w:r w:rsidR="002A6DD4" w:rsidRPr="004451F9">
        <w:rPr>
          <w:rFonts w:cs="Times New Roman"/>
          <w:sz w:val="24"/>
          <w:szCs w:val="24"/>
        </w:rPr>
        <w:t>Non-Muslim groups were allowed to preserve their own cultural identities within the Empire,</w:t>
      </w:r>
      <w:r w:rsidR="00616B7E" w:rsidRPr="004451F9">
        <w:rPr>
          <w:rStyle w:val="FootnoteReference"/>
          <w:rFonts w:cs="Times New Roman"/>
          <w:sz w:val="24"/>
          <w:szCs w:val="24"/>
        </w:rPr>
        <w:footnoteReference w:id="27"/>
      </w:r>
      <w:r w:rsidR="002A6DD4" w:rsidRPr="004451F9">
        <w:rPr>
          <w:rFonts w:cs="Times New Roman"/>
          <w:sz w:val="24"/>
          <w:szCs w:val="24"/>
        </w:rPr>
        <w:t xml:space="preserve"> and Western powers eventually came to wield great influence on Ottomans.</w:t>
      </w:r>
      <w:r w:rsidR="00417605" w:rsidRPr="004451F9">
        <w:rPr>
          <w:rStyle w:val="FootnoteReference"/>
          <w:rFonts w:cs="Times New Roman"/>
          <w:sz w:val="24"/>
          <w:szCs w:val="24"/>
        </w:rPr>
        <w:footnoteReference w:id="28"/>
      </w:r>
      <w:r w:rsidR="002A6DD4" w:rsidRPr="004451F9">
        <w:rPr>
          <w:rFonts w:cs="Times New Roman"/>
          <w:sz w:val="24"/>
          <w:szCs w:val="24"/>
        </w:rPr>
        <w:t xml:space="preserve"> In the end, the Turkish came to see both the monarchy and religious rule as detrimental to their progress.</w:t>
      </w:r>
      <w:r w:rsidR="00417605" w:rsidRPr="004451F9">
        <w:rPr>
          <w:rStyle w:val="FootnoteReference"/>
          <w:rFonts w:cs="Times New Roman"/>
          <w:sz w:val="24"/>
          <w:szCs w:val="24"/>
        </w:rPr>
        <w:footnoteReference w:id="29"/>
      </w:r>
      <w:r w:rsidRPr="004451F9">
        <w:rPr>
          <w:rFonts w:cs="Times New Roman"/>
          <w:sz w:val="24"/>
          <w:szCs w:val="24"/>
        </w:rPr>
        <w:t xml:space="preserve"> </w:t>
      </w:r>
    </w:p>
    <w:p w:rsidR="00364563" w:rsidRPr="004451F9" w:rsidRDefault="00364563" w:rsidP="00364563">
      <w:pPr>
        <w:spacing w:after="0" w:line="480" w:lineRule="auto"/>
        <w:ind w:firstLine="720"/>
        <w:rPr>
          <w:rFonts w:cs="Times New Roman"/>
          <w:sz w:val="24"/>
          <w:szCs w:val="24"/>
        </w:rPr>
      </w:pPr>
      <w:r w:rsidRPr="004451F9">
        <w:rPr>
          <w:rFonts w:cs="Times New Roman"/>
          <w:sz w:val="24"/>
          <w:szCs w:val="24"/>
        </w:rPr>
        <w:t>Even prior to the founding of the Republic of Turkey, political parties had been in existence in the Ottoman Empire for several decades.</w:t>
      </w:r>
      <w:r w:rsidRPr="004451F9">
        <w:rPr>
          <w:rStyle w:val="FootnoteReference"/>
          <w:rFonts w:cs="Times New Roman"/>
          <w:sz w:val="24"/>
          <w:szCs w:val="24"/>
        </w:rPr>
        <w:footnoteReference w:id="30"/>
      </w:r>
      <w:r w:rsidRPr="004451F9">
        <w:rPr>
          <w:rFonts w:cs="Times New Roman"/>
          <w:sz w:val="24"/>
          <w:szCs w:val="24"/>
        </w:rPr>
        <w:t xml:space="preserve"> A type of feudal land system, which enabled elites to bid on the privilege of collecting taxes from various regions, turned into a desire </w:t>
      </w:r>
      <w:r w:rsidRPr="004451F9">
        <w:rPr>
          <w:rFonts w:cs="Times New Roman"/>
          <w:sz w:val="24"/>
          <w:szCs w:val="24"/>
        </w:rPr>
        <w:lastRenderedPageBreak/>
        <w:t>by those elites to influence political decisions in the Empire.</w:t>
      </w:r>
      <w:r w:rsidRPr="004451F9">
        <w:rPr>
          <w:rStyle w:val="FootnoteReference"/>
          <w:rFonts w:cs="Times New Roman"/>
          <w:sz w:val="24"/>
          <w:szCs w:val="24"/>
        </w:rPr>
        <w:t xml:space="preserve"> </w:t>
      </w:r>
      <w:r w:rsidRPr="004451F9">
        <w:rPr>
          <w:rStyle w:val="FootnoteReference"/>
          <w:rFonts w:cs="Times New Roman"/>
          <w:sz w:val="24"/>
          <w:szCs w:val="24"/>
        </w:rPr>
        <w:footnoteReference w:id="31"/>
      </w:r>
      <w:r w:rsidRPr="004451F9">
        <w:rPr>
          <w:rFonts w:cs="Times New Roman"/>
          <w:sz w:val="24"/>
          <w:szCs w:val="24"/>
        </w:rPr>
        <w:t xml:space="preserve"> The feudal-type system also led to a weak central government and laid the foundation for the political networks that later enabled the independence movement.</w:t>
      </w:r>
      <w:r w:rsidRPr="004451F9">
        <w:rPr>
          <w:rStyle w:val="FootnoteReference"/>
          <w:rFonts w:cs="Times New Roman"/>
          <w:sz w:val="24"/>
          <w:szCs w:val="24"/>
        </w:rPr>
        <w:footnoteReference w:id="32"/>
      </w:r>
      <w:r w:rsidRPr="004451F9">
        <w:rPr>
          <w:rFonts w:cs="Times New Roman"/>
          <w:sz w:val="24"/>
          <w:szCs w:val="24"/>
        </w:rPr>
        <w:t xml:space="preserve"> The Ottoman Empire also had a history of rotating administrative personnel between the capital and the provinces, which also ultimately helped </w:t>
      </w:r>
      <w:r w:rsidR="00220E4E" w:rsidRPr="004451F9">
        <w:rPr>
          <w:rFonts w:cs="Times New Roman"/>
          <w:sz w:val="24"/>
          <w:szCs w:val="24"/>
        </w:rPr>
        <w:t>build</w:t>
      </w:r>
      <w:r w:rsidRPr="004451F9">
        <w:rPr>
          <w:rFonts w:cs="Times New Roman"/>
          <w:sz w:val="24"/>
          <w:szCs w:val="24"/>
        </w:rPr>
        <w:t xml:space="preserve"> a political network for use by parties and later opposition movements.</w:t>
      </w:r>
      <w:r w:rsidRPr="004451F9">
        <w:rPr>
          <w:rStyle w:val="FootnoteReference"/>
          <w:rFonts w:cs="Times New Roman"/>
          <w:sz w:val="24"/>
          <w:szCs w:val="24"/>
        </w:rPr>
        <w:footnoteReference w:id="33"/>
      </w:r>
      <w:r w:rsidRPr="004451F9">
        <w:rPr>
          <w:rFonts w:cs="Times New Roman"/>
          <w:sz w:val="24"/>
          <w:szCs w:val="24"/>
        </w:rPr>
        <w:t xml:space="preserve"> Coupled with Western influences, this led to the establishment of a constitutional monarchy and the Ottoman Empire's first European-modeled constitution in 1876,</w:t>
      </w:r>
      <w:r w:rsidRPr="004451F9">
        <w:rPr>
          <w:rStyle w:val="FootnoteReference"/>
          <w:rFonts w:cs="Times New Roman"/>
          <w:sz w:val="24"/>
          <w:szCs w:val="24"/>
        </w:rPr>
        <w:footnoteReference w:id="34"/>
      </w:r>
      <w:r w:rsidRPr="004451F9">
        <w:rPr>
          <w:rFonts w:cs="Times New Roman"/>
          <w:sz w:val="24"/>
          <w:szCs w:val="24"/>
        </w:rPr>
        <w:t xml:space="preserve"> along with the establishment of an indirectly-elected parliament the following year.</w:t>
      </w:r>
      <w:r w:rsidRPr="004451F9">
        <w:rPr>
          <w:rStyle w:val="FootnoteReference"/>
          <w:rFonts w:cs="Times New Roman"/>
          <w:sz w:val="24"/>
          <w:szCs w:val="24"/>
        </w:rPr>
        <w:footnoteReference w:id="35"/>
      </w:r>
      <w:r w:rsidRPr="004451F9">
        <w:rPr>
          <w:rFonts w:cs="Times New Roman"/>
          <w:sz w:val="24"/>
          <w:szCs w:val="24"/>
        </w:rPr>
        <w:t xml:space="preserve"> What followed were several "Constitutional Periods" during which various reforms and concessions were made. Signs of a two-party system began to emerge even in the First Constitutional Period; the first parliament was divided mainly on the role of the state and whether it should expand or contract.</w:t>
      </w:r>
      <w:r w:rsidRPr="004451F9">
        <w:rPr>
          <w:rStyle w:val="FootnoteReference"/>
          <w:rFonts w:cs="Times New Roman"/>
          <w:sz w:val="24"/>
          <w:szCs w:val="24"/>
        </w:rPr>
        <w:footnoteReference w:id="36"/>
      </w:r>
      <w:r w:rsidRPr="004451F9">
        <w:rPr>
          <w:rFonts w:cs="Times New Roman"/>
          <w:sz w:val="24"/>
          <w:szCs w:val="24"/>
        </w:rPr>
        <w:t xml:space="preserve"> The first parliament was relatively weak, however, and served at the Sultan's pleasure.</w:t>
      </w:r>
      <w:r w:rsidRPr="004451F9">
        <w:rPr>
          <w:rStyle w:val="FootnoteReference"/>
          <w:rFonts w:cs="Times New Roman"/>
          <w:sz w:val="24"/>
          <w:szCs w:val="24"/>
        </w:rPr>
        <w:footnoteReference w:id="37"/>
      </w:r>
      <w:r w:rsidRPr="004451F9">
        <w:rPr>
          <w:rFonts w:cs="Times New Roman"/>
          <w:sz w:val="24"/>
          <w:szCs w:val="24"/>
        </w:rPr>
        <w:t xml:space="preserve"> It was subsequently disbanded in 1880.</w:t>
      </w:r>
      <w:r w:rsidRPr="004451F9">
        <w:rPr>
          <w:rStyle w:val="FootnoteReference"/>
          <w:rFonts w:cs="Times New Roman"/>
          <w:sz w:val="24"/>
          <w:szCs w:val="24"/>
        </w:rPr>
        <w:footnoteReference w:id="38"/>
      </w:r>
      <w:r w:rsidRPr="004451F9">
        <w:rPr>
          <w:rFonts w:cs="Times New Roman"/>
          <w:sz w:val="24"/>
          <w:szCs w:val="24"/>
        </w:rPr>
        <w:t xml:space="preserve"> The </w:t>
      </w:r>
      <w:r w:rsidRPr="004451F9">
        <w:rPr>
          <w:rFonts w:cs="Times New Roman"/>
          <w:sz w:val="24"/>
          <w:szCs w:val="24"/>
        </w:rPr>
        <w:lastRenderedPageBreak/>
        <w:t>thirty years that followed th</w:t>
      </w:r>
      <w:r w:rsidR="000D6203">
        <w:rPr>
          <w:rFonts w:cs="Times New Roman"/>
          <w:sz w:val="24"/>
          <w:szCs w:val="24"/>
        </w:rPr>
        <w:t>e constitutional monarchy regress</w:t>
      </w:r>
      <w:r w:rsidRPr="004451F9">
        <w:rPr>
          <w:rFonts w:cs="Times New Roman"/>
          <w:sz w:val="24"/>
          <w:szCs w:val="24"/>
        </w:rPr>
        <w:t>ed into an increasingly repressive police state at the whim of the Sultan.</w:t>
      </w:r>
      <w:r w:rsidRPr="004451F9">
        <w:rPr>
          <w:rStyle w:val="FootnoteReference"/>
          <w:rFonts w:cs="Times New Roman"/>
          <w:sz w:val="24"/>
          <w:szCs w:val="24"/>
        </w:rPr>
        <w:footnoteReference w:id="39"/>
      </w:r>
      <w:r w:rsidRPr="004451F9">
        <w:rPr>
          <w:rFonts w:cs="Times New Roman"/>
          <w:sz w:val="24"/>
          <w:szCs w:val="24"/>
        </w:rPr>
        <w:t xml:space="preserve"> </w:t>
      </w:r>
    </w:p>
    <w:p w:rsidR="00364563" w:rsidRPr="004451F9" w:rsidRDefault="00364563" w:rsidP="00364563">
      <w:pPr>
        <w:spacing w:after="0" w:line="480" w:lineRule="auto"/>
        <w:ind w:firstLine="720"/>
        <w:rPr>
          <w:rFonts w:cs="Times New Roman"/>
          <w:sz w:val="24"/>
          <w:szCs w:val="24"/>
        </w:rPr>
      </w:pPr>
      <w:r w:rsidRPr="004451F9">
        <w:rPr>
          <w:rFonts w:cs="Times New Roman"/>
          <w:sz w:val="24"/>
          <w:szCs w:val="24"/>
        </w:rPr>
        <w:t>In the wake of this, several important political groups "formed in opposition to Ottoman autocracy," including the Committee for Union and Progress (CUP), founded in 1889.</w:t>
      </w:r>
      <w:r w:rsidRPr="004451F9">
        <w:rPr>
          <w:rStyle w:val="FootnoteReference"/>
          <w:rFonts w:cs="Times New Roman"/>
          <w:sz w:val="24"/>
          <w:szCs w:val="24"/>
        </w:rPr>
        <w:footnoteReference w:id="40"/>
      </w:r>
      <w:r w:rsidRPr="004451F9">
        <w:rPr>
          <w:rFonts w:cs="Times New Roman"/>
          <w:sz w:val="24"/>
          <w:szCs w:val="24"/>
        </w:rPr>
        <w:t xml:space="preserve"> The CUP </w:t>
      </w:r>
      <w:r w:rsidR="00F225A5" w:rsidRPr="004451F9">
        <w:rPr>
          <w:rFonts w:cs="Times New Roman"/>
          <w:sz w:val="24"/>
          <w:szCs w:val="24"/>
        </w:rPr>
        <w:t xml:space="preserve">initially </w:t>
      </w:r>
      <w:r w:rsidRPr="004451F9">
        <w:rPr>
          <w:rFonts w:cs="Times New Roman"/>
          <w:sz w:val="24"/>
          <w:szCs w:val="24"/>
        </w:rPr>
        <w:t xml:space="preserve">formed </w:t>
      </w:r>
      <w:r w:rsidR="00F225A5" w:rsidRPr="004451F9">
        <w:rPr>
          <w:rFonts w:cs="Times New Roman"/>
          <w:sz w:val="24"/>
          <w:szCs w:val="24"/>
        </w:rPr>
        <w:t>as a secret organization and</w:t>
      </w:r>
      <w:r w:rsidRPr="004451F9">
        <w:rPr>
          <w:rFonts w:cs="Times New Roman"/>
          <w:sz w:val="24"/>
          <w:szCs w:val="24"/>
        </w:rPr>
        <w:t xml:space="preserve"> would later become one of the most influential political groups in Turkey's history.</w:t>
      </w:r>
      <w:r w:rsidRPr="004451F9">
        <w:rPr>
          <w:rStyle w:val="FootnoteReference"/>
          <w:rFonts w:cs="Times New Roman"/>
          <w:sz w:val="24"/>
          <w:szCs w:val="24"/>
        </w:rPr>
        <w:footnoteReference w:id="41"/>
      </w:r>
      <w:r w:rsidRPr="004451F9">
        <w:rPr>
          <w:rFonts w:cs="Times New Roman"/>
          <w:sz w:val="24"/>
          <w:szCs w:val="24"/>
        </w:rPr>
        <w:t xml:space="preserve"> "It is significant that Mustafa Kemal, founding father of the Republic, became active in politics and in the Committee of Union and Progress (CUP) movement at this time."</w:t>
      </w:r>
      <w:r w:rsidRPr="004451F9">
        <w:rPr>
          <w:rStyle w:val="FootnoteReference"/>
          <w:rFonts w:cs="Times New Roman"/>
          <w:sz w:val="24"/>
          <w:szCs w:val="24"/>
        </w:rPr>
        <w:footnoteReference w:id="42"/>
      </w:r>
      <w:r w:rsidRPr="004451F9">
        <w:rPr>
          <w:rFonts w:cs="Times New Roman"/>
          <w:sz w:val="24"/>
          <w:szCs w:val="24"/>
        </w:rPr>
        <w:t xml:space="preserve"> With the support of key Ottoman army members, the CUP forced the Sultan to reinstate the constitution and reopen Parliament in 1908.</w:t>
      </w:r>
      <w:r w:rsidRPr="004451F9">
        <w:rPr>
          <w:rStyle w:val="FootnoteReference"/>
          <w:rFonts w:cs="Times New Roman"/>
          <w:sz w:val="24"/>
          <w:szCs w:val="24"/>
        </w:rPr>
        <w:footnoteReference w:id="43"/>
      </w:r>
      <w:r w:rsidRPr="004451F9">
        <w:rPr>
          <w:rFonts w:cs="Times New Roman"/>
          <w:sz w:val="24"/>
          <w:szCs w:val="24"/>
        </w:rPr>
        <w:t xml:space="preserve"> Thus, the Second Constitutional Period began, and it lasted until 1918.</w:t>
      </w:r>
      <w:r w:rsidRPr="004451F9">
        <w:rPr>
          <w:rStyle w:val="FootnoteReference"/>
          <w:rFonts w:cs="Times New Roman"/>
          <w:sz w:val="24"/>
          <w:szCs w:val="24"/>
        </w:rPr>
        <w:footnoteReference w:id="44"/>
      </w:r>
      <w:r w:rsidRPr="004451F9">
        <w:rPr>
          <w:rFonts w:cs="Times New Roman"/>
          <w:sz w:val="24"/>
          <w:szCs w:val="24"/>
        </w:rPr>
        <w:t xml:space="preserve"> The new parliament secured increased powers via amendments to the 1876 constitution, including the rights to initiate legislation, conclude treaties, and depose cabinets.</w:t>
      </w:r>
      <w:r w:rsidRPr="004451F9">
        <w:rPr>
          <w:rStyle w:val="FootnoteReference"/>
          <w:rFonts w:cs="Times New Roman"/>
          <w:sz w:val="24"/>
          <w:szCs w:val="24"/>
        </w:rPr>
        <w:footnoteReference w:id="45"/>
      </w:r>
      <w:r w:rsidRPr="004451F9">
        <w:rPr>
          <w:rFonts w:cs="Times New Roman"/>
          <w:sz w:val="24"/>
          <w:szCs w:val="24"/>
        </w:rPr>
        <w:t xml:space="preserve"> Accountability of the grand vizier and his now self-appointed cabinet was also shifted from the sultan to parliament.</w:t>
      </w:r>
      <w:r w:rsidRPr="004451F9">
        <w:rPr>
          <w:rStyle w:val="FootnoteReference"/>
          <w:rFonts w:cs="Times New Roman"/>
          <w:sz w:val="24"/>
          <w:szCs w:val="24"/>
        </w:rPr>
        <w:footnoteReference w:id="46"/>
      </w:r>
    </w:p>
    <w:p w:rsidR="00364563" w:rsidRPr="004451F9" w:rsidRDefault="00364563" w:rsidP="00364563">
      <w:pPr>
        <w:spacing w:after="0" w:line="480" w:lineRule="auto"/>
        <w:ind w:firstLine="720"/>
        <w:rPr>
          <w:rFonts w:cs="Times New Roman"/>
          <w:sz w:val="24"/>
          <w:szCs w:val="24"/>
        </w:rPr>
      </w:pPr>
      <w:r w:rsidRPr="004451F9">
        <w:rPr>
          <w:rFonts w:cs="Times New Roman"/>
          <w:sz w:val="24"/>
          <w:szCs w:val="24"/>
        </w:rPr>
        <w:t>This period also saw the first real birth of opposition parties within the constitutional monarchy, although the CUP maintained a grip on power.</w:t>
      </w:r>
      <w:r w:rsidRPr="004451F9">
        <w:rPr>
          <w:rStyle w:val="FootnoteReference"/>
          <w:rFonts w:cs="Times New Roman"/>
          <w:sz w:val="24"/>
          <w:szCs w:val="24"/>
        </w:rPr>
        <w:footnoteReference w:id="47"/>
      </w:r>
      <w:r w:rsidRPr="004451F9">
        <w:rPr>
          <w:rFonts w:cs="Times New Roman"/>
          <w:sz w:val="24"/>
          <w:szCs w:val="24"/>
        </w:rPr>
        <w:t xml:space="preserve"> The CUP leaders and activists were </w:t>
      </w:r>
      <w:r w:rsidR="00F225A5" w:rsidRPr="004451F9">
        <w:rPr>
          <w:rFonts w:cs="Times New Roman"/>
          <w:sz w:val="24"/>
          <w:szCs w:val="24"/>
        </w:rPr>
        <w:t>mostly</w:t>
      </w:r>
      <w:r w:rsidRPr="004451F9">
        <w:rPr>
          <w:rFonts w:cs="Times New Roman"/>
          <w:sz w:val="24"/>
          <w:szCs w:val="24"/>
        </w:rPr>
        <w:t xml:space="preserve"> urbanized bureaucrats, army members, and intelligentsia who advocated strengthened, </w:t>
      </w:r>
      <w:r w:rsidRPr="004451F9">
        <w:rPr>
          <w:rFonts w:cs="Times New Roman"/>
          <w:sz w:val="24"/>
          <w:szCs w:val="24"/>
        </w:rPr>
        <w:lastRenderedPageBreak/>
        <w:t>centralized government and secularism.</w:t>
      </w:r>
      <w:r w:rsidRPr="004451F9">
        <w:rPr>
          <w:rStyle w:val="FootnoteReference"/>
          <w:rFonts w:cs="Times New Roman"/>
          <w:sz w:val="24"/>
          <w:szCs w:val="24"/>
        </w:rPr>
        <w:footnoteReference w:id="48"/>
      </w:r>
      <w:r w:rsidRPr="004451F9">
        <w:rPr>
          <w:rFonts w:cs="Times New Roman"/>
          <w:sz w:val="24"/>
          <w:szCs w:val="24"/>
        </w:rPr>
        <w:t xml:space="preserve"> In catalyzing a political network strong enough to challenge the Sultan and bring constitutional and parliamentary reform, CUP had to tap the network of rural provincial nobles, who tended to be both anti-centralization and anti-secularism.</w:t>
      </w:r>
      <w:r w:rsidRPr="004451F9">
        <w:rPr>
          <w:rStyle w:val="FootnoteReference"/>
          <w:rFonts w:cs="Times New Roman"/>
          <w:sz w:val="24"/>
          <w:szCs w:val="24"/>
        </w:rPr>
        <w:footnoteReference w:id="49"/>
      </w:r>
      <w:r w:rsidRPr="004451F9">
        <w:rPr>
          <w:rFonts w:cs="Times New Roman"/>
          <w:sz w:val="24"/>
          <w:szCs w:val="24"/>
        </w:rPr>
        <w:t xml:space="preserve"> This center-periphery conflict came to define the Turkish political arena into the modern day;</w:t>
      </w:r>
      <w:r w:rsidRPr="004451F9">
        <w:rPr>
          <w:rStyle w:val="FootnoteReference"/>
          <w:rFonts w:cs="Times New Roman"/>
          <w:sz w:val="24"/>
          <w:szCs w:val="24"/>
        </w:rPr>
        <w:footnoteReference w:id="50"/>
      </w:r>
      <w:r w:rsidRPr="004451F9">
        <w:rPr>
          <w:rFonts w:cs="Times New Roman"/>
          <w:sz w:val="24"/>
          <w:szCs w:val="24"/>
        </w:rPr>
        <w:t xml:space="preserve"> in the face of a shrinking empire, the CUP more fervently advocated nationalism and a strong central government, while provincial nobles understandably were loath to yield any more of their own power to a centralized government.</w:t>
      </w:r>
      <w:r w:rsidRPr="004451F9">
        <w:rPr>
          <w:rStyle w:val="FootnoteReference"/>
          <w:rFonts w:cs="Times New Roman"/>
          <w:sz w:val="24"/>
          <w:szCs w:val="24"/>
        </w:rPr>
        <w:footnoteReference w:id="51"/>
      </w:r>
      <w:r w:rsidRPr="004451F9">
        <w:rPr>
          <w:rFonts w:cs="Times New Roman"/>
          <w:sz w:val="24"/>
          <w:szCs w:val="24"/>
        </w:rPr>
        <w:t xml:space="preserve"> The CUP was unable to consistently count on the votes of pr</w:t>
      </w:r>
      <w:r w:rsidR="00F225A5" w:rsidRPr="004451F9">
        <w:rPr>
          <w:rFonts w:cs="Times New Roman"/>
          <w:sz w:val="24"/>
          <w:szCs w:val="24"/>
        </w:rPr>
        <w:t>ovincial nobles in</w:t>
      </w:r>
      <w:r w:rsidRPr="004451F9">
        <w:rPr>
          <w:rFonts w:cs="Times New Roman"/>
          <w:sz w:val="24"/>
          <w:szCs w:val="24"/>
        </w:rPr>
        <w:t xml:space="preserve"> parliament, and opposition parties started forming and creating organizational networks to challenge CUP's policies.</w:t>
      </w:r>
      <w:r w:rsidRPr="004451F9">
        <w:rPr>
          <w:rStyle w:val="FootnoteReference"/>
          <w:rFonts w:cs="Times New Roman"/>
          <w:sz w:val="24"/>
          <w:szCs w:val="24"/>
        </w:rPr>
        <w:footnoteReference w:id="52"/>
      </w:r>
      <w:r w:rsidRPr="004451F9">
        <w:rPr>
          <w:rFonts w:cs="Times New Roman"/>
          <w:sz w:val="24"/>
          <w:szCs w:val="24"/>
        </w:rPr>
        <w:t xml:space="preserve"> One such party was the People's Party, established in 1910 with an Islamist bent.</w:t>
      </w:r>
      <w:r w:rsidRPr="004451F9">
        <w:rPr>
          <w:rStyle w:val="FootnoteReference"/>
          <w:rFonts w:cs="Times New Roman"/>
          <w:sz w:val="24"/>
          <w:szCs w:val="24"/>
        </w:rPr>
        <w:footnoteReference w:id="53"/>
      </w:r>
      <w:r w:rsidRPr="004451F9">
        <w:rPr>
          <w:rFonts w:cs="Times New Roman"/>
          <w:sz w:val="24"/>
          <w:szCs w:val="24"/>
        </w:rPr>
        <w:t xml:space="preserve"> That party banded with two others to form a new party and defeat a CUP candidate in 1911, after which the CUP began resorting to intimidation to ensure its grip on power.</w:t>
      </w:r>
      <w:r w:rsidRPr="004451F9">
        <w:rPr>
          <w:rStyle w:val="FootnoteReference"/>
          <w:rFonts w:cs="Times New Roman"/>
          <w:sz w:val="24"/>
          <w:szCs w:val="24"/>
        </w:rPr>
        <w:footnoteReference w:id="54"/>
      </w:r>
      <w:r w:rsidRPr="004451F9">
        <w:rPr>
          <w:rFonts w:cs="Times New Roman"/>
          <w:sz w:val="24"/>
          <w:szCs w:val="24"/>
        </w:rPr>
        <w:t xml:space="preserve"> When even that failed to guarantee its control over policy-making, the CUP ceded some of its parliamentary power gains back to the executive branch and essentially ensured the collapse of competitive politics and guaranteed its own authoritarian rule until end of the Second Constitutional Period in 1918 when the Ottoman Empire was defeated in World War I.</w:t>
      </w:r>
      <w:r w:rsidRPr="004451F9">
        <w:rPr>
          <w:rStyle w:val="FootnoteReference"/>
          <w:rFonts w:cs="Times New Roman"/>
          <w:sz w:val="24"/>
          <w:szCs w:val="24"/>
        </w:rPr>
        <w:footnoteReference w:id="55"/>
      </w:r>
      <w:r w:rsidRPr="004451F9">
        <w:rPr>
          <w:rFonts w:cs="Times New Roman"/>
          <w:sz w:val="24"/>
          <w:szCs w:val="24"/>
        </w:rPr>
        <w:t xml:space="preserve"> That began a cycle that would continue in Turkish politics in the decades to come.</w:t>
      </w:r>
    </w:p>
    <w:p w:rsidR="00A17F71" w:rsidRPr="004451F9" w:rsidRDefault="00F130F5" w:rsidP="00B35AC7">
      <w:pPr>
        <w:spacing w:after="0" w:line="480" w:lineRule="auto"/>
        <w:ind w:firstLine="720"/>
        <w:rPr>
          <w:rFonts w:cs="Times New Roman"/>
          <w:sz w:val="24"/>
          <w:szCs w:val="24"/>
        </w:rPr>
      </w:pPr>
      <w:r w:rsidRPr="004451F9">
        <w:rPr>
          <w:rFonts w:cs="Times New Roman"/>
          <w:sz w:val="24"/>
          <w:szCs w:val="24"/>
        </w:rPr>
        <w:lastRenderedPageBreak/>
        <w:t>Turkey as we now know it is essentially what remained of the Ottoman Empire after the World War I.</w:t>
      </w:r>
      <w:r w:rsidRPr="004451F9">
        <w:rPr>
          <w:rStyle w:val="FootnoteReference"/>
          <w:rFonts w:cs="Times New Roman"/>
          <w:sz w:val="24"/>
          <w:szCs w:val="24"/>
        </w:rPr>
        <w:footnoteReference w:id="56"/>
      </w:r>
      <w:r w:rsidR="00944E09" w:rsidRPr="004451F9">
        <w:rPr>
          <w:rFonts w:cs="Times New Roman"/>
          <w:sz w:val="24"/>
          <w:szCs w:val="24"/>
        </w:rPr>
        <w:t xml:space="preserve"> Prior to the war, the Ottomans were already struggling to ke</w:t>
      </w:r>
      <w:r w:rsidR="00451C79" w:rsidRPr="004451F9">
        <w:rPr>
          <w:rFonts w:cs="Times New Roman"/>
          <w:sz w:val="24"/>
          <w:szCs w:val="24"/>
        </w:rPr>
        <w:t>ep their empire together in the face of</w:t>
      </w:r>
      <w:r w:rsidR="00944E09" w:rsidRPr="004451F9">
        <w:rPr>
          <w:rFonts w:cs="Times New Roman"/>
          <w:sz w:val="24"/>
          <w:szCs w:val="24"/>
        </w:rPr>
        <w:t xml:space="preserve"> </w:t>
      </w:r>
      <w:r w:rsidR="00451C79" w:rsidRPr="004451F9">
        <w:rPr>
          <w:rFonts w:cs="Times New Roman"/>
          <w:sz w:val="24"/>
          <w:szCs w:val="24"/>
        </w:rPr>
        <w:t xml:space="preserve">disagreement among internal political parties, </w:t>
      </w:r>
      <w:r w:rsidR="00944E09" w:rsidRPr="004451F9">
        <w:rPr>
          <w:rFonts w:cs="Times New Roman"/>
          <w:sz w:val="24"/>
          <w:szCs w:val="24"/>
        </w:rPr>
        <w:t>separatist insurgencies on various fronts</w:t>
      </w:r>
      <w:r w:rsidR="00451C79" w:rsidRPr="004451F9">
        <w:rPr>
          <w:rFonts w:cs="Times New Roman"/>
          <w:sz w:val="24"/>
          <w:szCs w:val="24"/>
        </w:rPr>
        <w:t>,</w:t>
      </w:r>
      <w:r w:rsidR="00944E09" w:rsidRPr="004451F9">
        <w:rPr>
          <w:rFonts w:cs="Times New Roman"/>
          <w:sz w:val="24"/>
          <w:szCs w:val="24"/>
        </w:rPr>
        <w:t xml:space="preserve"> and pressures from the Great Powers of Europe and Russia to make land concessions and form strategic alliances.</w:t>
      </w:r>
      <w:r w:rsidR="00944E09" w:rsidRPr="004451F9">
        <w:rPr>
          <w:rStyle w:val="FootnoteReference"/>
          <w:rFonts w:cs="Times New Roman"/>
          <w:sz w:val="24"/>
          <w:szCs w:val="24"/>
        </w:rPr>
        <w:footnoteReference w:id="57"/>
      </w:r>
      <w:r w:rsidR="00A50C08" w:rsidRPr="004451F9">
        <w:rPr>
          <w:rFonts w:cs="Times New Roman"/>
          <w:sz w:val="24"/>
          <w:szCs w:val="24"/>
        </w:rPr>
        <w:t xml:space="preserve"> When World War I began, the Ottoman </w:t>
      </w:r>
      <w:r w:rsidR="009F01F8" w:rsidRPr="004451F9">
        <w:rPr>
          <w:rFonts w:cs="Times New Roman"/>
          <w:sz w:val="24"/>
          <w:szCs w:val="24"/>
        </w:rPr>
        <w:t>army had already been under the control of Germany – at the request of the Ottoman Empire – for retraining after the Ottoman's devastating defeat in the Balkans War.</w:t>
      </w:r>
      <w:r w:rsidR="009F01F8" w:rsidRPr="004451F9">
        <w:rPr>
          <w:rStyle w:val="FootnoteReference"/>
          <w:rFonts w:cs="Times New Roman"/>
          <w:sz w:val="24"/>
          <w:szCs w:val="24"/>
        </w:rPr>
        <w:footnoteReference w:id="58"/>
      </w:r>
      <w:r w:rsidR="00A50C08" w:rsidRPr="004451F9">
        <w:rPr>
          <w:rFonts w:cs="Times New Roman"/>
          <w:sz w:val="24"/>
          <w:szCs w:val="24"/>
        </w:rPr>
        <w:t xml:space="preserve"> </w:t>
      </w:r>
      <w:r w:rsidR="00976971" w:rsidRPr="004451F9">
        <w:rPr>
          <w:rFonts w:cs="Times New Roman"/>
          <w:sz w:val="24"/>
          <w:szCs w:val="24"/>
        </w:rPr>
        <w:t xml:space="preserve">Although the </w:t>
      </w:r>
      <w:r w:rsidR="00C80787" w:rsidRPr="004451F9">
        <w:rPr>
          <w:rFonts w:cs="Times New Roman"/>
          <w:sz w:val="24"/>
          <w:szCs w:val="24"/>
        </w:rPr>
        <w:t>Empire, largely</w:t>
      </w:r>
      <w:r w:rsidR="00976971" w:rsidRPr="004451F9">
        <w:rPr>
          <w:rFonts w:cs="Times New Roman"/>
          <w:sz w:val="24"/>
          <w:szCs w:val="24"/>
        </w:rPr>
        <w:t xml:space="preserve"> because of economic reasons, signed a formal alliance treaty with Germany after World War I began, it was with initial reluctance that </w:t>
      </w:r>
      <w:r w:rsidR="00C80787" w:rsidRPr="004451F9">
        <w:rPr>
          <w:rFonts w:cs="Times New Roman"/>
          <w:sz w:val="24"/>
          <w:szCs w:val="24"/>
        </w:rPr>
        <w:t>it</w:t>
      </w:r>
      <w:r w:rsidR="00976971" w:rsidRPr="004451F9">
        <w:rPr>
          <w:rFonts w:cs="Times New Roman"/>
          <w:sz w:val="24"/>
          <w:szCs w:val="24"/>
        </w:rPr>
        <w:t xml:space="preserve"> actively engaged in the war.</w:t>
      </w:r>
      <w:r w:rsidR="00976971" w:rsidRPr="004451F9">
        <w:rPr>
          <w:rStyle w:val="FootnoteReference"/>
          <w:rFonts w:cs="Times New Roman"/>
          <w:sz w:val="24"/>
          <w:szCs w:val="24"/>
        </w:rPr>
        <w:footnoteReference w:id="59"/>
      </w:r>
      <w:r w:rsidR="00976971" w:rsidRPr="004451F9">
        <w:rPr>
          <w:rFonts w:cs="Times New Roman"/>
          <w:sz w:val="24"/>
          <w:szCs w:val="24"/>
        </w:rPr>
        <w:t xml:space="preserve"> The Ottoman cabinet even tried to propose an alliance with the Allied Powers after the treaty with Germany had been signed, but their proposal was cursorily rejected, the Allied Powers having already decided to carve up the Ottoman Empire for themselves.</w:t>
      </w:r>
      <w:r w:rsidR="00976971" w:rsidRPr="004451F9">
        <w:rPr>
          <w:rStyle w:val="FootnoteReference"/>
          <w:rFonts w:cs="Times New Roman"/>
          <w:sz w:val="24"/>
          <w:szCs w:val="24"/>
        </w:rPr>
        <w:footnoteReference w:id="60"/>
      </w:r>
    </w:p>
    <w:p w:rsidR="00104CD1" w:rsidRPr="004451F9" w:rsidRDefault="000235FD" w:rsidP="00B35AC7">
      <w:pPr>
        <w:spacing w:after="0" w:line="480" w:lineRule="auto"/>
        <w:ind w:firstLine="720"/>
        <w:rPr>
          <w:rFonts w:cs="Times New Roman"/>
          <w:sz w:val="24"/>
          <w:szCs w:val="24"/>
        </w:rPr>
      </w:pPr>
      <w:r w:rsidRPr="004451F9">
        <w:rPr>
          <w:rFonts w:cs="Times New Roman"/>
          <w:sz w:val="24"/>
          <w:szCs w:val="24"/>
        </w:rPr>
        <w:t>One of few successful Ottoman military commanders during World War I, Mustafa Kemal Pasha, later known as Atatürk, warded off the British navy from the Gallipoli peninsula in the Mediterranean Sea, a crucial point of defense against invasion of Istanbul.</w:t>
      </w:r>
      <w:r w:rsidRPr="004451F9">
        <w:rPr>
          <w:rStyle w:val="FootnoteReference"/>
          <w:rFonts w:cs="Times New Roman"/>
          <w:sz w:val="24"/>
          <w:szCs w:val="24"/>
        </w:rPr>
        <w:footnoteReference w:id="61"/>
      </w:r>
      <w:r w:rsidRPr="004451F9">
        <w:rPr>
          <w:rFonts w:cs="Times New Roman"/>
          <w:sz w:val="24"/>
          <w:szCs w:val="24"/>
        </w:rPr>
        <w:t xml:space="preserve"> At the end of the war, what was left of the Empire faced divvying by the Allied Powers.</w:t>
      </w:r>
      <w:r w:rsidRPr="004451F9">
        <w:rPr>
          <w:rStyle w:val="FootnoteReference"/>
          <w:rFonts w:cs="Times New Roman"/>
          <w:sz w:val="24"/>
          <w:szCs w:val="24"/>
        </w:rPr>
        <w:footnoteReference w:id="62"/>
      </w:r>
      <w:r w:rsidRPr="004451F9">
        <w:rPr>
          <w:rFonts w:cs="Times New Roman"/>
          <w:sz w:val="24"/>
          <w:szCs w:val="24"/>
        </w:rPr>
        <w:t xml:space="preserve"> All the political parties had to band together in order </w:t>
      </w:r>
      <w:r w:rsidR="00C80787" w:rsidRPr="004451F9">
        <w:rPr>
          <w:rFonts w:cs="Times New Roman"/>
          <w:sz w:val="24"/>
          <w:szCs w:val="24"/>
        </w:rPr>
        <w:t xml:space="preserve">to maximize their resources </w:t>
      </w:r>
      <w:r w:rsidRPr="004451F9">
        <w:rPr>
          <w:rFonts w:cs="Times New Roman"/>
          <w:sz w:val="24"/>
          <w:szCs w:val="24"/>
        </w:rPr>
        <w:t xml:space="preserve">to protect their independence, and </w:t>
      </w:r>
      <w:r w:rsidRPr="004451F9">
        <w:rPr>
          <w:rFonts w:cs="Times New Roman"/>
          <w:sz w:val="24"/>
          <w:szCs w:val="24"/>
        </w:rPr>
        <w:lastRenderedPageBreak/>
        <w:t>ideological differences were at least temporarily set aside.</w:t>
      </w:r>
      <w:r w:rsidRPr="004451F9">
        <w:rPr>
          <w:rStyle w:val="FootnoteReference"/>
          <w:rFonts w:cs="Times New Roman"/>
          <w:sz w:val="24"/>
          <w:szCs w:val="24"/>
        </w:rPr>
        <w:footnoteReference w:id="63"/>
      </w:r>
      <w:r w:rsidRPr="004451F9">
        <w:rPr>
          <w:rFonts w:cs="Times New Roman"/>
          <w:sz w:val="24"/>
          <w:szCs w:val="24"/>
        </w:rPr>
        <w:t xml:space="preserve"> They were successful </w:t>
      </w:r>
      <w:r w:rsidR="00C80787" w:rsidRPr="004451F9">
        <w:rPr>
          <w:rFonts w:cs="Times New Roman"/>
          <w:sz w:val="24"/>
          <w:szCs w:val="24"/>
        </w:rPr>
        <w:t>at preserving what now remains as Turkey</w:t>
      </w:r>
      <w:r w:rsidRPr="004451F9">
        <w:rPr>
          <w:rFonts w:cs="Times New Roman"/>
          <w:sz w:val="24"/>
          <w:szCs w:val="24"/>
        </w:rPr>
        <w:t xml:space="preserve"> largely because of the leadership of Mustafa Kemal, who led a nationalist movement abolishing the Sultanate and founding the Republic of Turkey.</w:t>
      </w:r>
      <w:r w:rsidRPr="004451F9">
        <w:rPr>
          <w:rStyle w:val="FootnoteReference"/>
          <w:rFonts w:cs="Times New Roman"/>
          <w:sz w:val="24"/>
          <w:szCs w:val="24"/>
        </w:rPr>
        <w:footnoteReference w:id="64"/>
      </w:r>
      <w:r w:rsidRPr="004451F9">
        <w:rPr>
          <w:rFonts w:cs="Times New Roman"/>
          <w:sz w:val="24"/>
          <w:szCs w:val="24"/>
        </w:rPr>
        <w:t xml:space="preserve"> </w:t>
      </w:r>
      <w:r w:rsidR="000D370C" w:rsidRPr="004451F9">
        <w:rPr>
          <w:rFonts w:cs="Times New Roman"/>
          <w:sz w:val="24"/>
          <w:szCs w:val="24"/>
        </w:rPr>
        <w:t>Consequently, he became the leader of the new Republic and the head of the new Republican People's Party (RPP), which ruled Turkey unchallenged for the first thirty years of the Republic.</w:t>
      </w:r>
      <w:r w:rsidR="00672B62" w:rsidRPr="004451F9">
        <w:rPr>
          <w:rStyle w:val="FootnoteReference"/>
          <w:rFonts w:cs="Times New Roman"/>
          <w:sz w:val="24"/>
          <w:szCs w:val="24"/>
        </w:rPr>
        <w:footnoteReference w:id="65"/>
      </w:r>
      <w:r w:rsidR="000D370C" w:rsidRPr="004451F9">
        <w:rPr>
          <w:rFonts w:cs="Times New Roman"/>
          <w:sz w:val="24"/>
          <w:szCs w:val="24"/>
        </w:rPr>
        <w:t xml:space="preserve"> Mustafa Kemal </w:t>
      </w:r>
      <w:r w:rsidR="00742887" w:rsidRPr="004451F9">
        <w:rPr>
          <w:rFonts w:cs="Times New Roman"/>
          <w:sz w:val="24"/>
          <w:szCs w:val="24"/>
        </w:rPr>
        <w:t>can be considered the father of Turkey</w:t>
      </w:r>
      <w:r w:rsidR="000D370C" w:rsidRPr="004451F9">
        <w:rPr>
          <w:rFonts w:cs="Times New Roman"/>
          <w:sz w:val="24"/>
          <w:szCs w:val="24"/>
        </w:rPr>
        <w:t>.</w:t>
      </w:r>
      <w:r w:rsidR="00F008F2" w:rsidRPr="004451F9">
        <w:rPr>
          <w:rStyle w:val="FootnoteReference"/>
          <w:rFonts w:cs="Times New Roman"/>
          <w:sz w:val="24"/>
          <w:szCs w:val="24"/>
        </w:rPr>
        <w:footnoteReference w:id="66"/>
      </w:r>
      <w:r w:rsidR="000D370C" w:rsidRPr="004451F9">
        <w:rPr>
          <w:rFonts w:cs="Times New Roman"/>
          <w:sz w:val="24"/>
          <w:szCs w:val="24"/>
        </w:rPr>
        <w:t xml:space="preserve"> H</w:t>
      </w:r>
      <w:r w:rsidR="00742887" w:rsidRPr="004451F9">
        <w:rPr>
          <w:rFonts w:cs="Times New Roman"/>
          <w:sz w:val="24"/>
          <w:szCs w:val="24"/>
        </w:rPr>
        <w:t xml:space="preserve">is </w:t>
      </w:r>
      <w:r w:rsidR="000D370C" w:rsidRPr="004451F9">
        <w:rPr>
          <w:rFonts w:cs="Times New Roman"/>
          <w:sz w:val="24"/>
          <w:szCs w:val="24"/>
        </w:rPr>
        <w:t xml:space="preserve">political ideology </w:t>
      </w:r>
      <w:r w:rsidR="00F9341D" w:rsidRPr="004451F9">
        <w:rPr>
          <w:rFonts w:cs="Times New Roman"/>
          <w:sz w:val="24"/>
          <w:szCs w:val="24"/>
        </w:rPr>
        <w:t>left a lasting impression on Turkey</w:t>
      </w:r>
      <w:r w:rsidR="000D370C" w:rsidRPr="004451F9">
        <w:rPr>
          <w:rStyle w:val="FootnoteReference"/>
          <w:rFonts w:cs="Times New Roman"/>
          <w:sz w:val="24"/>
          <w:szCs w:val="24"/>
        </w:rPr>
        <w:footnoteReference w:id="67"/>
      </w:r>
      <w:r w:rsidR="000D370C" w:rsidRPr="004451F9">
        <w:rPr>
          <w:rFonts w:cs="Times New Roman"/>
          <w:sz w:val="24"/>
          <w:szCs w:val="24"/>
        </w:rPr>
        <w:t xml:space="preserve"> and </w:t>
      </w:r>
      <w:r w:rsidR="00F9341D" w:rsidRPr="004451F9">
        <w:rPr>
          <w:rFonts w:cs="Times New Roman"/>
          <w:sz w:val="24"/>
          <w:szCs w:val="24"/>
        </w:rPr>
        <w:t>ultimately en</w:t>
      </w:r>
      <w:r w:rsidR="00364563" w:rsidRPr="004451F9">
        <w:rPr>
          <w:rFonts w:cs="Times New Roman"/>
          <w:sz w:val="24"/>
          <w:szCs w:val="24"/>
        </w:rPr>
        <w:t>abled Turkey's democratization.</w:t>
      </w:r>
    </w:p>
    <w:p w:rsidR="00827A66" w:rsidRPr="004451F9" w:rsidRDefault="00C80787" w:rsidP="00624FDC">
      <w:pPr>
        <w:spacing w:after="0" w:line="480" w:lineRule="auto"/>
        <w:ind w:firstLine="720"/>
        <w:rPr>
          <w:rFonts w:cs="Times New Roman"/>
          <w:sz w:val="24"/>
          <w:szCs w:val="24"/>
        </w:rPr>
      </w:pPr>
      <w:r w:rsidRPr="004451F9">
        <w:rPr>
          <w:rFonts w:cs="Times New Roman"/>
          <w:sz w:val="24"/>
          <w:szCs w:val="24"/>
        </w:rPr>
        <w:t xml:space="preserve">That </w:t>
      </w:r>
      <w:r w:rsidR="00827A66" w:rsidRPr="004451F9">
        <w:rPr>
          <w:rFonts w:cs="Times New Roman"/>
          <w:sz w:val="24"/>
          <w:szCs w:val="24"/>
        </w:rPr>
        <w:t>the Republic was born in the wake of a severe contracting of the Ottoman Empire and after an indepe</w:t>
      </w:r>
      <w:r w:rsidRPr="004451F9">
        <w:rPr>
          <w:rFonts w:cs="Times New Roman"/>
          <w:sz w:val="24"/>
          <w:szCs w:val="24"/>
        </w:rPr>
        <w:t>ndence struggle against imperialistic carving-</w:t>
      </w:r>
      <w:r w:rsidR="00827A66" w:rsidRPr="004451F9">
        <w:rPr>
          <w:rFonts w:cs="Times New Roman"/>
          <w:sz w:val="24"/>
          <w:szCs w:val="24"/>
        </w:rPr>
        <w:t xml:space="preserve">up had an effect on the political environment and regime that emerged under Mustafa Kemal, which was characterized by both intense secularism and intense </w:t>
      </w:r>
      <w:r w:rsidR="00F225A5" w:rsidRPr="004451F9">
        <w:rPr>
          <w:rFonts w:cs="Times New Roman"/>
          <w:sz w:val="24"/>
          <w:szCs w:val="24"/>
        </w:rPr>
        <w:t>state</w:t>
      </w:r>
      <w:r w:rsidR="00827A66" w:rsidRPr="004451F9">
        <w:rPr>
          <w:rFonts w:cs="Times New Roman"/>
          <w:sz w:val="24"/>
          <w:szCs w:val="24"/>
        </w:rPr>
        <w:t xml:space="preserve"> protection</w:t>
      </w:r>
      <w:r w:rsidR="00F225A5" w:rsidRPr="004451F9">
        <w:rPr>
          <w:rFonts w:cs="Times New Roman"/>
          <w:sz w:val="24"/>
          <w:szCs w:val="24"/>
        </w:rPr>
        <w:t>ism</w:t>
      </w:r>
      <w:r w:rsidR="00827A66" w:rsidRPr="004451F9">
        <w:rPr>
          <w:rFonts w:cs="Times New Roman"/>
          <w:sz w:val="24"/>
          <w:szCs w:val="24"/>
        </w:rPr>
        <w:t xml:space="preserve">. </w:t>
      </w:r>
      <w:r w:rsidR="00994254" w:rsidRPr="004451F9">
        <w:rPr>
          <w:rFonts w:cs="Times New Roman"/>
          <w:sz w:val="24"/>
          <w:szCs w:val="24"/>
        </w:rPr>
        <w:t>The RPP was based on "the Six Arrows, or ideological tenets, of Ataturk's Republican People's Party (RPP) (republicanism, nationalism, populism, secularism, revol</w:t>
      </w:r>
      <w:r w:rsidR="00350681" w:rsidRPr="004451F9">
        <w:rPr>
          <w:rFonts w:cs="Times New Roman"/>
          <w:sz w:val="24"/>
          <w:szCs w:val="24"/>
        </w:rPr>
        <w:t>utionism and etatism)," which "</w:t>
      </w:r>
      <w:r w:rsidR="00994254" w:rsidRPr="004451F9">
        <w:rPr>
          <w:rFonts w:cs="Times New Roman"/>
          <w:sz w:val="24"/>
          <w:szCs w:val="24"/>
        </w:rPr>
        <w:t xml:space="preserve">represented </w:t>
      </w:r>
      <w:r w:rsidR="00350681" w:rsidRPr="004451F9">
        <w:rPr>
          <w:rFonts w:cs="Times New Roman"/>
          <w:sz w:val="24"/>
          <w:szCs w:val="24"/>
        </w:rPr>
        <w:t>…</w:t>
      </w:r>
      <w:r w:rsidR="00994254" w:rsidRPr="004451F9">
        <w:rPr>
          <w:rFonts w:cs="Times New Roman"/>
          <w:sz w:val="24"/>
          <w:szCs w:val="24"/>
        </w:rPr>
        <w:t xml:space="preserve"> a </w:t>
      </w:r>
      <w:r w:rsidR="00994254" w:rsidRPr="004451F9">
        <w:rPr>
          <w:rFonts w:cs="Times New Roman"/>
          <w:i/>
          <w:sz w:val="24"/>
          <w:szCs w:val="24"/>
        </w:rPr>
        <w:t xml:space="preserve">post facto </w:t>
      </w:r>
      <w:r w:rsidR="00994254" w:rsidRPr="004451F9">
        <w:rPr>
          <w:rFonts w:cs="Times New Roman"/>
          <w:sz w:val="24"/>
          <w:szCs w:val="24"/>
        </w:rPr>
        <w:t>summing-up of achievements."</w:t>
      </w:r>
      <w:r w:rsidR="00994254" w:rsidRPr="004451F9">
        <w:rPr>
          <w:rStyle w:val="FootnoteReference"/>
          <w:rFonts w:cs="Times New Roman"/>
          <w:sz w:val="24"/>
          <w:szCs w:val="24"/>
        </w:rPr>
        <w:footnoteReference w:id="68"/>
      </w:r>
      <w:r w:rsidR="001F4B33" w:rsidRPr="004451F9">
        <w:rPr>
          <w:rFonts w:cs="Times New Roman"/>
          <w:sz w:val="24"/>
          <w:szCs w:val="24"/>
        </w:rPr>
        <w:t xml:space="preserve"> This fits with the RPP's view of itself as a movement rather than a party.</w:t>
      </w:r>
      <w:r w:rsidR="00AA6767" w:rsidRPr="004451F9">
        <w:rPr>
          <w:rStyle w:val="FootnoteReference"/>
          <w:rFonts w:cs="Times New Roman"/>
          <w:sz w:val="24"/>
          <w:szCs w:val="24"/>
        </w:rPr>
        <w:footnoteReference w:id="69"/>
      </w:r>
      <w:r w:rsidR="00EA2781" w:rsidRPr="004451F9">
        <w:rPr>
          <w:rFonts w:cs="Times New Roman"/>
          <w:sz w:val="24"/>
          <w:szCs w:val="24"/>
        </w:rPr>
        <w:t xml:space="preserve"> </w:t>
      </w:r>
      <w:r w:rsidR="001F4B33" w:rsidRPr="004451F9">
        <w:rPr>
          <w:rFonts w:cs="Times New Roman"/>
          <w:sz w:val="24"/>
          <w:szCs w:val="24"/>
        </w:rPr>
        <w:t>Mustafa Kemal did make sweeping changes that arguably made the Republic much more democratic, including universal male suffrage</w:t>
      </w:r>
      <w:r w:rsidR="00350681" w:rsidRPr="004451F9">
        <w:rPr>
          <w:rFonts w:cs="Times New Roman"/>
          <w:sz w:val="24"/>
          <w:szCs w:val="24"/>
        </w:rPr>
        <w:t>,</w:t>
      </w:r>
      <w:r w:rsidR="001F4B33" w:rsidRPr="004451F9">
        <w:rPr>
          <w:rFonts w:cs="Times New Roman"/>
          <w:sz w:val="24"/>
          <w:szCs w:val="24"/>
        </w:rPr>
        <w:t xml:space="preserve"> which was </w:t>
      </w:r>
      <w:r w:rsidRPr="004451F9">
        <w:rPr>
          <w:rFonts w:cs="Times New Roman"/>
          <w:sz w:val="24"/>
          <w:szCs w:val="24"/>
        </w:rPr>
        <w:t>extended to females in</w:t>
      </w:r>
      <w:r w:rsidR="00672B62" w:rsidRPr="004451F9">
        <w:rPr>
          <w:rFonts w:cs="Times New Roman"/>
          <w:sz w:val="24"/>
          <w:szCs w:val="24"/>
        </w:rPr>
        <w:t xml:space="preserve"> 1934</w:t>
      </w:r>
      <w:r w:rsidR="00350681" w:rsidRPr="004451F9">
        <w:rPr>
          <w:rFonts w:cs="Times New Roman"/>
          <w:sz w:val="24"/>
          <w:szCs w:val="24"/>
        </w:rPr>
        <w:t xml:space="preserve">, and </w:t>
      </w:r>
      <w:r w:rsidR="001F4B33" w:rsidRPr="004451F9">
        <w:rPr>
          <w:rFonts w:cs="Times New Roman"/>
          <w:sz w:val="24"/>
          <w:szCs w:val="24"/>
        </w:rPr>
        <w:t xml:space="preserve">strict </w:t>
      </w:r>
      <w:r w:rsidR="001F4B33" w:rsidRPr="004451F9">
        <w:rPr>
          <w:rFonts w:cs="Times New Roman"/>
          <w:sz w:val="24"/>
          <w:szCs w:val="24"/>
        </w:rPr>
        <w:lastRenderedPageBreak/>
        <w:t>secularism.</w:t>
      </w:r>
      <w:r w:rsidR="001F4B33" w:rsidRPr="004451F9">
        <w:rPr>
          <w:rStyle w:val="FootnoteReference"/>
          <w:rFonts w:cs="Times New Roman"/>
          <w:sz w:val="24"/>
          <w:szCs w:val="24"/>
        </w:rPr>
        <w:footnoteReference w:id="70"/>
      </w:r>
      <w:r w:rsidR="00FE21E1" w:rsidRPr="004451F9">
        <w:rPr>
          <w:rFonts w:cs="Times New Roman"/>
          <w:sz w:val="24"/>
          <w:szCs w:val="24"/>
        </w:rPr>
        <w:t xml:space="preserve"> The Sultanate had, of course, been abolished before the Republic had been declared, but to promote secularism and squelch potential Islamist sympathizers of the Sultan/Caliph, the Caliphate was also abolished</w:t>
      </w:r>
      <w:r w:rsidR="003E5E99" w:rsidRPr="004451F9">
        <w:rPr>
          <w:rFonts w:cs="Times New Roman"/>
          <w:sz w:val="24"/>
          <w:szCs w:val="24"/>
        </w:rPr>
        <w:t xml:space="preserve"> in 1924</w:t>
      </w:r>
      <w:r w:rsidR="00FE21E1" w:rsidRPr="004451F9">
        <w:rPr>
          <w:rFonts w:cs="Times New Roman"/>
          <w:sz w:val="24"/>
          <w:szCs w:val="24"/>
        </w:rPr>
        <w:t>.</w:t>
      </w:r>
      <w:r w:rsidR="00FE21E1" w:rsidRPr="004451F9">
        <w:rPr>
          <w:rStyle w:val="FootnoteReference"/>
          <w:rFonts w:cs="Times New Roman"/>
          <w:sz w:val="24"/>
          <w:szCs w:val="24"/>
        </w:rPr>
        <w:footnoteReference w:id="71"/>
      </w:r>
      <w:r w:rsidRPr="004451F9">
        <w:rPr>
          <w:rFonts w:cs="Times New Roman"/>
          <w:sz w:val="24"/>
          <w:szCs w:val="24"/>
        </w:rPr>
        <w:t xml:space="preserve"> At the same time</w:t>
      </w:r>
      <w:r w:rsidR="00F225A5" w:rsidRPr="004451F9">
        <w:rPr>
          <w:rFonts w:cs="Times New Roman"/>
          <w:sz w:val="24"/>
          <w:szCs w:val="24"/>
        </w:rPr>
        <w:t xml:space="preserve"> the government closed</w:t>
      </w:r>
      <w:r w:rsidR="00FE21E1" w:rsidRPr="004451F9">
        <w:rPr>
          <w:rFonts w:cs="Times New Roman"/>
          <w:sz w:val="24"/>
          <w:szCs w:val="24"/>
        </w:rPr>
        <w:t xml:space="preserve"> all medre</w:t>
      </w:r>
      <w:r w:rsidR="00F225A5" w:rsidRPr="004451F9">
        <w:rPr>
          <w:rFonts w:cs="Times New Roman"/>
          <w:sz w:val="24"/>
          <w:szCs w:val="24"/>
        </w:rPr>
        <w:t>ses and other religious schools and</w:t>
      </w:r>
      <w:r w:rsidR="00FE21E1" w:rsidRPr="004451F9">
        <w:rPr>
          <w:rFonts w:cs="Times New Roman"/>
          <w:sz w:val="24"/>
          <w:szCs w:val="24"/>
        </w:rPr>
        <w:t xml:space="preserve"> </w:t>
      </w:r>
      <w:r w:rsidR="00F225A5" w:rsidRPr="004451F9">
        <w:rPr>
          <w:rFonts w:cs="Times New Roman"/>
          <w:sz w:val="24"/>
          <w:szCs w:val="24"/>
        </w:rPr>
        <w:t xml:space="preserve">mandated </w:t>
      </w:r>
      <w:r w:rsidR="00FE21E1" w:rsidRPr="004451F9">
        <w:rPr>
          <w:rFonts w:cs="Times New Roman"/>
          <w:sz w:val="24"/>
          <w:szCs w:val="24"/>
        </w:rPr>
        <w:t>secular education</w:t>
      </w:r>
      <w:r w:rsidR="001064CC" w:rsidRPr="004451F9">
        <w:rPr>
          <w:rFonts w:cs="Times New Roman"/>
          <w:sz w:val="24"/>
          <w:szCs w:val="24"/>
        </w:rPr>
        <w:t>, and later reforms abolished Sharia courts</w:t>
      </w:r>
      <w:r w:rsidR="00366296" w:rsidRPr="004451F9">
        <w:rPr>
          <w:rFonts w:cs="Times New Roman"/>
          <w:sz w:val="24"/>
          <w:szCs w:val="24"/>
        </w:rPr>
        <w:t>, the fez and turban, and the Islamic calendar</w:t>
      </w:r>
      <w:r w:rsidR="00FE21E1" w:rsidRPr="004451F9">
        <w:rPr>
          <w:rFonts w:cs="Times New Roman"/>
          <w:sz w:val="24"/>
          <w:szCs w:val="24"/>
        </w:rPr>
        <w:t>.</w:t>
      </w:r>
      <w:r w:rsidR="00FE21E1" w:rsidRPr="004451F9">
        <w:rPr>
          <w:rStyle w:val="FootnoteReference"/>
          <w:rFonts w:cs="Times New Roman"/>
          <w:sz w:val="24"/>
          <w:szCs w:val="24"/>
        </w:rPr>
        <w:footnoteReference w:id="72"/>
      </w:r>
      <w:r w:rsidR="00145BD0" w:rsidRPr="004451F9">
        <w:rPr>
          <w:rFonts w:cs="Times New Roman"/>
          <w:sz w:val="24"/>
          <w:szCs w:val="24"/>
        </w:rPr>
        <w:t xml:space="preserve"> One scholar argues that the RPP invoked secularism to squelch opposition and maintain party dominance.</w:t>
      </w:r>
      <w:r w:rsidR="00145BD0" w:rsidRPr="004451F9">
        <w:rPr>
          <w:rStyle w:val="FootnoteReference"/>
          <w:rFonts w:cs="Times New Roman"/>
          <w:sz w:val="24"/>
          <w:szCs w:val="24"/>
        </w:rPr>
        <w:footnoteReference w:id="73"/>
      </w:r>
      <w:r w:rsidR="00624FDC" w:rsidRPr="004451F9">
        <w:rPr>
          <w:rFonts w:cs="Times New Roman"/>
          <w:sz w:val="24"/>
          <w:szCs w:val="24"/>
        </w:rPr>
        <w:t xml:space="preserve"> </w:t>
      </w:r>
    </w:p>
    <w:p w:rsidR="00C961EA" w:rsidRPr="004451F9" w:rsidRDefault="00827A66" w:rsidP="00624FDC">
      <w:pPr>
        <w:spacing w:after="0" w:line="480" w:lineRule="auto"/>
        <w:ind w:firstLine="720"/>
        <w:rPr>
          <w:rFonts w:cs="Times New Roman"/>
          <w:sz w:val="24"/>
          <w:szCs w:val="24"/>
        </w:rPr>
      </w:pPr>
      <w:r w:rsidRPr="004451F9">
        <w:rPr>
          <w:rFonts w:cs="Times New Roman"/>
          <w:sz w:val="24"/>
          <w:szCs w:val="24"/>
        </w:rPr>
        <w:t xml:space="preserve">The lack of challengers to the RPP was at first the party's own design and not </w:t>
      </w:r>
      <w:r w:rsidR="003E5E99" w:rsidRPr="004451F9">
        <w:rPr>
          <w:rFonts w:cs="Times New Roman"/>
          <w:sz w:val="24"/>
          <w:szCs w:val="24"/>
        </w:rPr>
        <w:t>for lack of opposing viewpoints.</w:t>
      </w:r>
      <w:r w:rsidRPr="004451F9">
        <w:rPr>
          <w:rFonts w:cs="Times New Roman"/>
          <w:sz w:val="24"/>
          <w:szCs w:val="24"/>
        </w:rPr>
        <w:t xml:space="preserve"> Mustafa Kemal refused to associate the new party with any particular political ideology, which some scholars argue allowed him to minimize opposition to the sweeping changes he made.</w:t>
      </w:r>
      <w:r w:rsidRPr="004451F9">
        <w:rPr>
          <w:rStyle w:val="FootnoteReference"/>
          <w:rFonts w:cs="Times New Roman"/>
          <w:sz w:val="24"/>
          <w:szCs w:val="24"/>
        </w:rPr>
        <w:footnoteReference w:id="74"/>
      </w:r>
      <w:r w:rsidRPr="004451F9">
        <w:rPr>
          <w:rFonts w:cs="Times New Roman"/>
          <w:sz w:val="24"/>
          <w:szCs w:val="24"/>
        </w:rPr>
        <w:t xml:space="preserve"> </w:t>
      </w:r>
      <w:r w:rsidR="001F4B33" w:rsidRPr="004451F9">
        <w:rPr>
          <w:rFonts w:cs="Times New Roman"/>
          <w:sz w:val="24"/>
          <w:szCs w:val="24"/>
        </w:rPr>
        <w:t xml:space="preserve">The viewpoint of democracy held by </w:t>
      </w:r>
      <w:r w:rsidR="00624FDC" w:rsidRPr="004451F9">
        <w:rPr>
          <w:rFonts w:cs="Times New Roman"/>
          <w:sz w:val="24"/>
          <w:szCs w:val="24"/>
        </w:rPr>
        <w:t>Turkish elites</w:t>
      </w:r>
      <w:r w:rsidR="001F4B33" w:rsidRPr="004451F9">
        <w:rPr>
          <w:rFonts w:cs="Times New Roman"/>
          <w:sz w:val="24"/>
          <w:szCs w:val="24"/>
        </w:rPr>
        <w:t xml:space="preserve"> was not that it was a system for representing and reconciling opposing interests but that it was "an intellectual debate with the intention of determining the best policy."</w:t>
      </w:r>
      <w:r w:rsidR="001F4B33" w:rsidRPr="004451F9">
        <w:rPr>
          <w:rStyle w:val="FootnoteReference"/>
          <w:rFonts w:cs="Times New Roman"/>
          <w:sz w:val="24"/>
          <w:szCs w:val="24"/>
        </w:rPr>
        <w:footnoteReference w:id="75"/>
      </w:r>
      <w:r w:rsidR="001F4B33" w:rsidRPr="004451F9">
        <w:rPr>
          <w:rFonts w:cs="Times New Roman"/>
          <w:sz w:val="24"/>
          <w:szCs w:val="24"/>
        </w:rPr>
        <w:t xml:space="preserve"> </w:t>
      </w:r>
      <w:r w:rsidR="00BF645F" w:rsidRPr="004451F9">
        <w:rPr>
          <w:rFonts w:cs="Times New Roman"/>
          <w:sz w:val="24"/>
          <w:szCs w:val="24"/>
        </w:rPr>
        <w:t>Early on, Mustafa Kemal considered political parties not to be parties at all but rather factions that damaged the nation when they sought prioritization of their members' interests over all others.</w:t>
      </w:r>
      <w:r w:rsidR="00BF645F" w:rsidRPr="004451F9">
        <w:rPr>
          <w:rStyle w:val="FootnoteReference"/>
          <w:rFonts w:cs="Times New Roman"/>
          <w:sz w:val="24"/>
          <w:szCs w:val="24"/>
        </w:rPr>
        <w:footnoteReference w:id="76"/>
      </w:r>
    </w:p>
    <w:p w:rsidR="00D750AC" w:rsidRPr="004451F9" w:rsidRDefault="00AA6767" w:rsidP="00827A66">
      <w:pPr>
        <w:spacing w:after="0" w:line="240" w:lineRule="auto"/>
        <w:ind w:left="720" w:right="720"/>
        <w:rPr>
          <w:rFonts w:cs="Times New Roman"/>
          <w:sz w:val="24"/>
          <w:szCs w:val="24"/>
        </w:rPr>
      </w:pPr>
      <w:r w:rsidRPr="004451F9">
        <w:rPr>
          <w:rFonts w:cs="Times New Roman"/>
          <w:sz w:val="24"/>
          <w:szCs w:val="24"/>
        </w:rPr>
        <w:t xml:space="preserve">Nevertheless, opposition to Mustafa Kemal's principles began to coalesce. </w:t>
      </w:r>
      <w:r w:rsidR="00D750AC" w:rsidRPr="004451F9">
        <w:rPr>
          <w:rFonts w:cs="Times New Roman"/>
          <w:sz w:val="24"/>
          <w:szCs w:val="24"/>
        </w:rPr>
        <w:t xml:space="preserve">The first opposition group, formed in 1924 by Ataturk's own associates under the name Progressive Republican Party, quickly became a rallying point for opponents to his ambitious reform programme including monarchists, separatists and Islamic conservatives and was dissolved in the backlash against the Kurdish rebellion of 1925. Another opposition group, the Free Party of 1930, formed with Ataturk's specific encouragement by his close friend Fethi Okyar, was dissolved </w:t>
      </w:r>
      <w:r w:rsidR="00D750AC" w:rsidRPr="004451F9">
        <w:rPr>
          <w:rFonts w:cs="Times New Roman"/>
          <w:sz w:val="24"/>
          <w:szCs w:val="24"/>
        </w:rPr>
        <w:lastRenderedPageBreak/>
        <w:t>within a few months - having soon become too popular for Ataturk's liking and, once again, encouraged more fundamental religious - conservative opposition.</w:t>
      </w:r>
      <w:r w:rsidR="00D750AC" w:rsidRPr="004451F9">
        <w:rPr>
          <w:rStyle w:val="FootnoteReference"/>
          <w:rFonts w:cs="Times New Roman"/>
          <w:sz w:val="24"/>
          <w:szCs w:val="24"/>
        </w:rPr>
        <w:footnoteReference w:id="77"/>
      </w:r>
    </w:p>
    <w:p w:rsidR="00827A66" w:rsidRPr="004451F9" w:rsidRDefault="00827A66" w:rsidP="00827A66">
      <w:pPr>
        <w:spacing w:after="0" w:line="240" w:lineRule="auto"/>
        <w:ind w:left="720" w:right="720"/>
        <w:rPr>
          <w:rFonts w:cs="Times New Roman"/>
          <w:sz w:val="24"/>
          <w:szCs w:val="24"/>
        </w:rPr>
      </w:pPr>
    </w:p>
    <w:p w:rsidR="00FC26FA" w:rsidRPr="004451F9" w:rsidRDefault="00D750AC" w:rsidP="00B35AC7">
      <w:pPr>
        <w:spacing w:after="0" w:line="480" w:lineRule="auto"/>
        <w:ind w:firstLine="720"/>
        <w:rPr>
          <w:rFonts w:cs="Times New Roman"/>
          <w:sz w:val="24"/>
          <w:szCs w:val="24"/>
        </w:rPr>
      </w:pPr>
      <w:r w:rsidRPr="004451F9">
        <w:rPr>
          <w:rFonts w:cs="Times New Roman"/>
          <w:sz w:val="24"/>
          <w:szCs w:val="24"/>
        </w:rPr>
        <w:t xml:space="preserve">The Free Party lasted </w:t>
      </w:r>
      <w:r w:rsidR="00827A66" w:rsidRPr="004451F9">
        <w:rPr>
          <w:rFonts w:cs="Times New Roman"/>
          <w:sz w:val="24"/>
          <w:szCs w:val="24"/>
        </w:rPr>
        <w:t xml:space="preserve">only </w:t>
      </w:r>
      <w:r w:rsidRPr="004451F9">
        <w:rPr>
          <w:rFonts w:cs="Times New Roman"/>
          <w:sz w:val="24"/>
          <w:szCs w:val="24"/>
        </w:rPr>
        <w:t>three months</w:t>
      </w:r>
      <w:r w:rsidR="00FC26FA" w:rsidRPr="004451F9">
        <w:rPr>
          <w:rFonts w:cs="Times New Roman"/>
          <w:sz w:val="24"/>
          <w:szCs w:val="24"/>
        </w:rPr>
        <w:t>.</w:t>
      </w:r>
      <w:r w:rsidR="00FC26FA" w:rsidRPr="004451F9">
        <w:rPr>
          <w:rStyle w:val="FootnoteReference"/>
          <w:rFonts w:cs="Times New Roman"/>
          <w:sz w:val="24"/>
          <w:szCs w:val="24"/>
        </w:rPr>
        <w:footnoteReference w:id="78"/>
      </w:r>
      <w:r w:rsidR="00FC26FA" w:rsidRPr="004451F9">
        <w:rPr>
          <w:rFonts w:cs="Times New Roman"/>
          <w:sz w:val="24"/>
          <w:szCs w:val="24"/>
        </w:rPr>
        <w:t xml:space="preserve"> </w:t>
      </w:r>
      <w:r w:rsidRPr="004451F9">
        <w:rPr>
          <w:rFonts w:cs="Times New Roman"/>
          <w:sz w:val="24"/>
          <w:szCs w:val="24"/>
        </w:rPr>
        <w:t>Political elites in Turkey were incentivized to create one main opposition party to challenge the dominant RPP, which had been in power for two decades.</w:t>
      </w:r>
      <w:r w:rsidRPr="004451F9">
        <w:rPr>
          <w:rStyle w:val="FootnoteReference"/>
          <w:rFonts w:cs="Times New Roman"/>
          <w:sz w:val="24"/>
          <w:szCs w:val="24"/>
        </w:rPr>
        <w:footnoteReference w:id="79"/>
      </w:r>
      <w:r w:rsidRPr="004451F9">
        <w:rPr>
          <w:rFonts w:cs="Times New Roman"/>
          <w:sz w:val="24"/>
          <w:szCs w:val="24"/>
        </w:rPr>
        <w:t xml:space="preserve"> The same provincial political network that enabled the CUP's opposi</w:t>
      </w:r>
      <w:r w:rsidR="003E0770" w:rsidRPr="004451F9">
        <w:rPr>
          <w:rFonts w:cs="Times New Roman"/>
          <w:sz w:val="24"/>
          <w:szCs w:val="24"/>
        </w:rPr>
        <w:t xml:space="preserve">tion to the Sultanate was </w:t>
      </w:r>
      <w:r w:rsidRPr="004451F9">
        <w:rPr>
          <w:rFonts w:cs="Times New Roman"/>
          <w:sz w:val="24"/>
          <w:szCs w:val="24"/>
        </w:rPr>
        <w:t>harnessed to successfully challenge Mustafa Kemal's incumbent RPP and create a trans-national network of political elites.</w:t>
      </w:r>
      <w:r w:rsidRPr="004451F9">
        <w:rPr>
          <w:rStyle w:val="FootnoteReference"/>
          <w:rFonts w:cs="Times New Roman"/>
          <w:sz w:val="24"/>
          <w:szCs w:val="24"/>
        </w:rPr>
        <w:footnoteReference w:id="80"/>
      </w:r>
      <w:r w:rsidRPr="004451F9">
        <w:rPr>
          <w:rFonts w:cs="Times New Roman"/>
          <w:sz w:val="24"/>
          <w:szCs w:val="24"/>
        </w:rPr>
        <w:t xml:space="preserve"> </w:t>
      </w:r>
      <w:r w:rsidR="00F225A5" w:rsidRPr="004451F9">
        <w:rPr>
          <w:rFonts w:cs="Times New Roman"/>
          <w:sz w:val="24"/>
          <w:szCs w:val="24"/>
        </w:rPr>
        <w:t xml:space="preserve">New RPP leader </w:t>
      </w:r>
      <w:r w:rsidRPr="004451F9">
        <w:rPr>
          <w:rFonts w:cs="Times New Roman"/>
          <w:sz w:val="24"/>
          <w:szCs w:val="24"/>
        </w:rPr>
        <w:t xml:space="preserve">Ismet Inonu initially tried to create </w:t>
      </w:r>
      <w:r w:rsidR="003E0770" w:rsidRPr="004451F9">
        <w:rPr>
          <w:rFonts w:cs="Times New Roman"/>
          <w:sz w:val="24"/>
          <w:szCs w:val="24"/>
        </w:rPr>
        <w:t>"controlled opposition" by allow</w:t>
      </w:r>
      <w:r w:rsidRPr="004451F9">
        <w:rPr>
          <w:rFonts w:cs="Times New Roman"/>
          <w:sz w:val="24"/>
          <w:szCs w:val="24"/>
        </w:rPr>
        <w:t>ing an independent group within the RPP.</w:t>
      </w:r>
      <w:r w:rsidRPr="004451F9">
        <w:rPr>
          <w:rStyle w:val="FootnoteReference"/>
          <w:rFonts w:cs="Times New Roman"/>
          <w:sz w:val="24"/>
          <w:szCs w:val="24"/>
        </w:rPr>
        <w:footnoteReference w:id="81"/>
      </w:r>
      <w:r w:rsidRPr="004451F9">
        <w:rPr>
          <w:rFonts w:cs="Times New Roman"/>
          <w:sz w:val="24"/>
          <w:szCs w:val="24"/>
        </w:rPr>
        <w:t xml:space="preserve"> Irregularities in a 1946 election, </w:t>
      </w:r>
      <w:r w:rsidR="00F225A5" w:rsidRPr="004451F9">
        <w:rPr>
          <w:rFonts w:cs="Times New Roman"/>
          <w:sz w:val="24"/>
          <w:szCs w:val="24"/>
        </w:rPr>
        <w:t>however</w:t>
      </w:r>
      <w:r w:rsidRPr="004451F9">
        <w:rPr>
          <w:rFonts w:cs="Times New Roman"/>
          <w:sz w:val="24"/>
          <w:szCs w:val="24"/>
        </w:rPr>
        <w:t>, "guaranteed the defeat of the newly-founded Democratic Party ...."</w:t>
      </w:r>
      <w:r w:rsidR="00FE3212" w:rsidRPr="004451F9">
        <w:rPr>
          <w:rStyle w:val="FootnoteReference"/>
          <w:rFonts w:cs="Times New Roman"/>
          <w:sz w:val="24"/>
          <w:szCs w:val="24"/>
        </w:rPr>
        <w:footnoteReference w:id="82"/>
      </w:r>
      <w:r w:rsidRPr="004451F9">
        <w:rPr>
          <w:rFonts w:cs="Times New Roman"/>
          <w:sz w:val="24"/>
          <w:szCs w:val="24"/>
        </w:rPr>
        <w:t xml:space="preserve"> In 1950, Inonu allowed actual free and competitive elections, and despite his surprise at the "overwhelming Democratic </w:t>
      </w:r>
      <w:r w:rsidR="00AA3870" w:rsidRPr="004451F9">
        <w:rPr>
          <w:rFonts w:cs="Times New Roman"/>
          <w:sz w:val="24"/>
          <w:szCs w:val="24"/>
        </w:rPr>
        <w:t xml:space="preserve">[Party] </w:t>
      </w:r>
      <w:r w:rsidRPr="004451F9">
        <w:rPr>
          <w:rFonts w:cs="Times New Roman"/>
          <w:sz w:val="24"/>
          <w:szCs w:val="24"/>
        </w:rPr>
        <w:t xml:space="preserve">victory," </w:t>
      </w:r>
      <w:r w:rsidR="001A7C70" w:rsidRPr="004451F9">
        <w:rPr>
          <w:rFonts w:cs="Times New Roman"/>
          <w:sz w:val="24"/>
          <w:szCs w:val="24"/>
        </w:rPr>
        <w:t>– an almost 84 percent parliamentary majority</w:t>
      </w:r>
      <w:r w:rsidR="001A7C70" w:rsidRPr="004451F9">
        <w:rPr>
          <w:rStyle w:val="FootnoteReference"/>
          <w:rFonts w:cs="Times New Roman"/>
          <w:sz w:val="24"/>
          <w:szCs w:val="24"/>
        </w:rPr>
        <w:footnoteReference w:id="83"/>
      </w:r>
      <w:r w:rsidR="001A7C70" w:rsidRPr="004451F9">
        <w:rPr>
          <w:rFonts w:cs="Times New Roman"/>
          <w:sz w:val="24"/>
          <w:szCs w:val="24"/>
        </w:rPr>
        <w:t xml:space="preserve"> – </w:t>
      </w:r>
      <w:r w:rsidRPr="004451F9">
        <w:rPr>
          <w:rFonts w:cs="Times New Roman"/>
          <w:sz w:val="24"/>
          <w:szCs w:val="24"/>
        </w:rPr>
        <w:t>he resisted calls from the military to set aside the election and resigned his presidency peacefully</w:t>
      </w:r>
      <w:r w:rsidR="00FE3212" w:rsidRPr="004451F9">
        <w:rPr>
          <w:rFonts w:cs="Times New Roman"/>
          <w:sz w:val="24"/>
          <w:szCs w:val="24"/>
        </w:rPr>
        <w:t>, completing one of the most crucial steps in Turkey's evolution toward democracy.</w:t>
      </w:r>
      <w:r w:rsidR="00FE3212" w:rsidRPr="004451F9">
        <w:rPr>
          <w:rStyle w:val="FootnoteReference"/>
          <w:rFonts w:cs="Times New Roman"/>
          <w:sz w:val="24"/>
          <w:szCs w:val="24"/>
        </w:rPr>
        <w:footnoteReference w:id="84"/>
      </w:r>
      <w:r w:rsidR="00FE3212" w:rsidRPr="004451F9">
        <w:rPr>
          <w:rFonts w:cs="Times New Roman"/>
          <w:sz w:val="24"/>
          <w:szCs w:val="24"/>
        </w:rPr>
        <w:t xml:space="preserve"> The 1950 election brought social issues to the forefront, and voter turnout reached eighty-nine percent.</w:t>
      </w:r>
      <w:r w:rsidR="00FE3212" w:rsidRPr="004451F9">
        <w:rPr>
          <w:rStyle w:val="FootnoteReference"/>
          <w:rFonts w:cs="Times New Roman"/>
          <w:sz w:val="24"/>
          <w:szCs w:val="24"/>
        </w:rPr>
        <w:footnoteReference w:id="85"/>
      </w:r>
      <w:r w:rsidR="00AA3870" w:rsidRPr="004451F9">
        <w:rPr>
          <w:rFonts w:cs="Times New Roman"/>
          <w:sz w:val="24"/>
          <w:szCs w:val="24"/>
        </w:rPr>
        <w:t xml:space="preserve"> "[I]n the 1950s, it was the center-right Democrat Party that first brought Islamic claims to the political sphere in terms of human rights and respect for culture."</w:t>
      </w:r>
      <w:r w:rsidR="00AA3870" w:rsidRPr="004451F9">
        <w:rPr>
          <w:rStyle w:val="FootnoteReference"/>
          <w:rFonts w:cs="Times New Roman"/>
          <w:sz w:val="24"/>
          <w:szCs w:val="24"/>
        </w:rPr>
        <w:footnoteReference w:id="86"/>
      </w:r>
    </w:p>
    <w:p w:rsidR="00113E33" w:rsidRPr="004451F9" w:rsidRDefault="0060558C" w:rsidP="00B35AC7">
      <w:pPr>
        <w:spacing w:after="0" w:line="480" w:lineRule="auto"/>
        <w:ind w:firstLine="720"/>
        <w:rPr>
          <w:rFonts w:cs="Times New Roman"/>
          <w:sz w:val="24"/>
          <w:szCs w:val="24"/>
        </w:rPr>
      </w:pPr>
      <w:r w:rsidRPr="004451F9">
        <w:rPr>
          <w:rFonts w:cs="Times New Roman"/>
          <w:sz w:val="24"/>
          <w:szCs w:val="24"/>
        </w:rPr>
        <w:lastRenderedPageBreak/>
        <w:t xml:space="preserve">Although the decades that followed fostered a pluralism of parties, they also bore three military interventions. </w:t>
      </w:r>
      <w:r w:rsidR="00FE3212" w:rsidRPr="004451F9">
        <w:rPr>
          <w:rFonts w:cs="Times New Roman"/>
          <w:sz w:val="24"/>
          <w:szCs w:val="24"/>
        </w:rPr>
        <w:t xml:space="preserve">Unfortunately, </w:t>
      </w:r>
      <w:r w:rsidR="006B061F" w:rsidRPr="004451F9">
        <w:rPr>
          <w:rFonts w:cs="Times New Roman"/>
          <w:sz w:val="24"/>
          <w:szCs w:val="24"/>
        </w:rPr>
        <w:t xml:space="preserve">despite the advance to free and competitive elections, the Democratic Party (DP) quickly </w:t>
      </w:r>
      <w:r w:rsidR="00EE04D8" w:rsidRPr="004451F9">
        <w:rPr>
          <w:rFonts w:cs="Times New Roman"/>
          <w:sz w:val="24"/>
          <w:szCs w:val="24"/>
        </w:rPr>
        <w:t>replaced the RPP as</w:t>
      </w:r>
      <w:r w:rsidR="006B061F" w:rsidRPr="004451F9">
        <w:rPr>
          <w:rFonts w:cs="Times New Roman"/>
          <w:sz w:val="24"/>
          <w:szCs w:val="24"/>
        </w:rPr>
        <w:t xml:space="preserve"> another dominant authoritarian party. Beginning in 1950, the DP won victories in three successive elections </w:t>
      </w:r>
      <w:r w:rsidR="00633A50" w:rsidRPr="004451F9">
        <w:rPr>
          <w:rFonts w:cs="Times New Roman"/>
          <w:sz w:val="24"/>
          <w:szCs w:val="24"/>
        </w:rPr>
        <w:t xml:space="preserve">and </w:t>
      </w:r>
      <w:r w:rsidR="006B061F" w:rsidRPr="004451F9">
        <w:rPr>
          <w:rFonts w:cs="Times New Roman"/>
          <w:sz w:val="24"/>
          <w:szCs w:val="24"/>
        </w:rPr>
        <w:t xml:space="preserve">then began encouraging rioting at opposition party rallies, which </w:t>
      </w:r>
      <w:r w:rsidR="00EE04D8" w:rsidRPr="004451F9">
        <w:rPr>
          <w:rFonts w:cs="Times New Roman"/>
          <w:sz w:val="24"/>
          <w:szCs w:val="24"/>
        </w:rPr>
        <w:t>it</w:t>
      </w:r>
      <w:r w:rsidR="006B061F" w:rsidRPr="004451F9">
        <w:rPr>
          <w:rFonts w:cs="Times New Roman"/>
          <w:sz w:val="24"/>
          <w:szCs w:val="24"/>
        </w:rPr>
        <w:t xml:space="preserve"> would then call on the military to suppress.</w:t>
      </w:r>
      <w:r w:rsidR="006B061F" w:rsidRPr="004451F9">
        <w:rPr>
          <w:rStyle w:val="FootnoteReference"/>
          <w:rFonts w:cs="Times New Roman"/>
          <w:sz w:val="24"/>
          <w:szCs w:val="24"/>
        </w:rPr>
        <w:footnoteReference w:id="87"/>
      </w:r>
      <w:r w:rsidR="006B061F" w:rsidRPr="004451F9">
        <w:rPr>
          <w:rFonts w:cs="Times New Roman"/>
          <w:sz w:val="24"/>
          <w:szCs w:val="24"/>
        </w:rPr>
        <w:t xml:space="preserve"> The military was unwilling to be </w:t>
      </w:r>
      <w:r w:rsidR="00EE04D8" w:rsidRPr="004451F9">
        <w:rPr>
          <w:rFonts w:cs="Times New Roman"/>
          <w:sz w:val="24"/>
          <w:szCs w:val="24"/>
        </w:rPr>
        <w:t>co-opted</w:t>
      </w:r>
      <w:r w:rsidR="006B061F" w:rsidRPr="004451F9">
        <w:rPr>
          <w:rFonts w:cs="Times New Roman"/>
          <w:sz w:val="24"/>
          <w:szCs w:val="24"/>
        </w:rPr>
        <w:t xml:space="preserve"> and imposed a military junta, </w:t>
      </w:r>
      <w:r w:rsidRPr="004451F9">
        <w:rPr>
          <w:rFonts w:cs="Times New Roman"/>
          <w:sz w:val="24"/>
          <w:szCs w:val="24"/>
        </w:rPr>
        <w:t>banning the DP</w:t>
      </w:r>
      <w:r w:rsidRPr="004451F9">
        <w:rPr>
          <w:rStyle w:val="FootnoteReference"/>
          <w:rFonts w:cs="Times New Roman"/>
          <w:sz w:val="24"/>
          <w:szCs w:val="24"/>
        </w:rPr>
        <w:footnoteReference w:id="88"/>
      </w:r>
      <w:r w:rsidRPr="004451F9">
        <w:rPr>
          <w:rFonts w:cs="Times New Roman"/>
          <w:sz w:val="24"/>
          <w:szCs w:val="24"/>
        </w:rPr>
        <w:t xml:space="preserve"> and </w:t>
      </w:r>
      <w:r w:rsidR="006B061F" w:rsidRPr="004451F9">
        <w:rPr>
          <w:rFonts w:cs="Times New Roman"/>
          <w:sz w:val="24"/>
          <w:szCs w:val="24"/>
        </w:rPr>
        <w:t>using a sp</w:t>
      </w:r>
      <w:r w:rsidR="00EE04D8" w:rsidRPr="004451F9">
        <w:rPr>
          <w:rFonts w:cs="Times New Roman"/>
          <w:sz w:val="24"/>
          <w:szCs w:val="24"/>
        </w:rPr>
        <w:t>ecial tribunal to execute its</w:t>
      </w:r>
      <w:r w:rsidR="006B061F" w:rsidRPr="004451F9">
        <w:rPr>
          <w:rFonts w:cs="Times New Roman"/>
          <w:sz w:val="24"/>
          <w:szCs w:val="24"/>
        </w:rPr>
        <w:t xml:space="preserve"> leader</w:t>
      </w:r>
      <w:r w:rsidRPr="004451F9">
        <w:rPr>
          <w:rFonts w:cs="Times New Roman"/>
          <w:sz w:val="24"/>
          <w:szCs w:val="24"/>
        </w:rPr>
        <w:t>.</w:t>
      </w:r>
      <w:r w:rsidR="006B061F" w:rsidRPr="004451F9">
        <w:rPr>
          <w:rStyle w:val="FootnoteReference"/>
          <w:rFonts w:cs="Times New Roman"/>
          <w:sz w:val="24"/>
          <w:szCs w:val="24"/>
        </w:rPr>
        <w:footnoteReference w:id="89"/>
      </w:r>
      <w:r w:rsidR="006B061F" w:rsidRPr="004451F9">
        <w:rPr>
          <w:rFonts w:cs="Times New Roman"/>
          <w:sz w:val="24"/>
          <w:szCs w:val="24"/>
        </w:rPr>
        <w:t xml:space="preserve"> But the military also fostered a new constitution</w:t>
      </w:r>
      <w:r w:rsidR="005332F5" w:rsidRPr="004451F9">
        <w:rPr>
          <w:rFonts w:cs="Times New Roman"/>
          <w:sz w:val="24"/>
          <w:szCs w:val="24"/>
        </w:rPr>
        <w:t>,</w:t>
      </w:r>
      <w:r w:rsidRPr="004451F9">
        <w:rPr>
          <w:rFonts w:cs="Times New Roman"/>
          <w:sz w:val="24"/>
          <w:szCs w:val="24"/>
        </w:rPr>
        <w:t xml:space="preserve"> new </w:t>
      </w:r>
      <w:r w:rsidR="006B061F" w:rsidRPr="004451F9">
        <w:rPr>
          <w:rFonts w:cs="Times New Roman"/>
          <w:sz w:val="24"/>
          <w:szCs w:val="24"/>
        </w:rPr>
        <w:t>laws</w:t>
      </w:r>
      <w:r w:rsidRPr="004451F9">
        <w:rPr>
          <w:rFonts w:cs="Times New Roman"/>
          <w:sz w:val="24"/>
          <w:szCs w:val="24"/>
        </w:rPr>
        <w:t xml:space="preserve"> for the </w:t>
      </w:r>
      <w:r w:rsidR="00453106" w:rsidRPr="004451F9">
        <w:rPr>
          <w:rFonts w:cs="Times New Roman"/>
          <w:sz w:val="24"/>
          <w:szCs w:val="24"/>
        </w:rPr>
        <w:t>1961 elections</w:t>
      </w:r>
      <w:r w:rsidR="005332F5" w:rsidRPr="004451F9">
        <w:rPr>
          <w:rFonts w:cs="Times New Roman"/>
          <w:sz w:val="24"/>
          <w:szCs w:val="24"/>
        </w:rPr>
        <w:t>,</w:t>
      </w:r>
      <w:r w:rsidR="006B061F" w:rsidRPr="004451F9">
        <w:rPr>
          <w:rFonts w:cs="Times New Roman"/>
          <w:sz w:val="24"/>
          <w:szCs w:val="24"/>
        </w:rPr>
        <w:t xml:space="preserve"> and the exiling of extre</w:t>
      </w:r>
      <w:r w:rsidR="005332F5" w:rsidRPr="004451F9">
        <w:rPr>
          <w:rFonts w:cs="Times New Roman"/>
          <w:sz w:val="24"/>
          <w:szCs w:val="24"/>
        </w:rPr>
        <w:t>mist military leaders who did not</w:t>
      </w:r>
      <w:r w:rsidR="006B061F" w:rsidRPr="004451F9">
        <w:rPr>
          <w:rFonts w:cs="Times New Roman"/>
          <w:sz w:val="24"/>
          <w:szCs w:val="24"/>
        </w:rPr>
        <w:t xml:space="preserve"> want to return control to</w:t>
      </w:r>
      <w:r w:rsidR="005332F5" w:rsidRPr="004451F9">
        <w:rPr>
          <w:rFonts w:cs="Times New Roman"/>
          <w:sz w:val="24"/>
          <w:szCs w:val="24"/>
        </w:rPr>
        <w:t xml:space="preserve"> a</w:t>
      </w:r>
      <w:r w:rsidR="006B061F" w:rsidRPr="004451F9">
        <w:rPr>
          <w:rFonts w:cs="Times New Roman"/>
          <w:sz w:val="24"/>
          <w:szCs w:val="24"/>
        </w:rPr>
        <w:t xml:space="preserve"> civilian democracy.</w:t>
      </w:r>
      <w:r w:rsidR="005332F5" w:rsidRPr="004451F9">
        <w:rPr>
          <w:rStyle w:val="FootnoteReference"/>
          <w:rFonts w:cs="Times New Roman"/>
          <w:sz w:val="24"/>
          <w:szCs w:val="24"/>
        </w:rPr>
        <w:footnoteReference w:id="90"/>
      </w:r>
      <w:r w:rsidR="006B061F" w:rsidRPr="004451F9">
        <w:rPr>
          <w:rFonts w:cs="Times New Roman"/>
          <w:sz w:val="24"/>
          <w:szCs w:val="24"/>
        </w:rPr>
        <w:t xml:space="preserve"> </w:t>
      </w:r>
      <w:r w:rsidR="00A25CB3" w:rsidRPr="004451F9">
        <w:rPr>
          <w:rFonts w:cs="Times New Roman"/>
          <w:sz w:val="24"/>
          <w:szCs w:val="24"/>
        </w:rPr>
        <w:t>However, "[a]fter 1961, the military acquired the constitutional right to constrain civilian decision-making processes through the institution of the National Security Council, a body of military and civilian leaders possessing what amounted to veto power over cabinet initiatives."</w:t>
      </w:r>
      <w:r w:rsidR="00A25CB3" w:rsidRPr="004451F9">
        <w:rPr>
          <w:rStyle w:val="FootnoteReference"/>
          <w:rFonts w:cs="Times New Roman"/>
          <w:sz w:val="24"/>
          <w:szCs w:val="24"/>
        </w:rPr>
        <w:footnoteReference w:id="91"/>
      </w:r>
      <w:r w:rsidR="00A25CB3" w:rsidRPr="004451F9">
        <w:rPr>
          <w:rFonts w:cs="Times New Roman"/>
          <w:sz w:val="24"/>
          <w:szCs w:val="24"/>
        </w:rPr>
        <w:t xml:space="preserve"> </w:t>
      </w:r>
      <w:r w:rsidRPr="004451F9">
        <w:rPr>
          <w:rFonts w:cs="Times New Roman"/>
          <w:sz w:val="24"/>
          <w:szCs w:val="24"/>
        </w:rPr>
        <w:t>A new party, the Justice Party,</w:t>
      </w:r>
      <w:r w:rsidR="00453106" w:rsidRPr="004451F9">
        <w:rPr>
          <w:rFonts w:cs="Times New Roman"/>
          <w:sz w:val="24"/>
          <w:szCs w:val="24"/>
        </w:rPr>
        <w:t xml:space="preserve"> coalesced enough support within a few years to replace the DP as the new dominant party for the next few election cycles.</w:t>
      </w:r>
      <w:r w:rsidR="00453106" w:rsidRPr="004451F9">
        <w:rPr>
          <w:rStyle w:val="FootnoteReference"/>
          <w:rFonts w:cs="Times New Roman"/>
          <w:sz w:val="24"/>
          <w:szCs w:val="24"/>
        </w:rPr>
        <w:footnoteReference w:id="92"/>
      </w:r>
      <w:r w:rsidR="00453106" w:rsidRPr="004451F9">
        <w:rPr>
          <w:rFonts w:cs="Times New Roman"/>
          <w:sz w:val="24"/>
          <w:szCs w:val="24"/>
        </w:rPr>
        <w:t xml:space="preserve"> By 1971, a</w:t>
      </w:r>
      <w:r w:rsidR="006B061F" w:rsidRPr="004451F9">
        <w:rPr>
          <w:rFonts w:cs="Times New Roman"/>
          <w:sz w:val="24"/>
          <w:szCs w:val="24"/>
        </w:rPr>
        <w:t>fter violent e</w:t>
      </w:r>
      <w:r w:rsidR="00453106" w:rsidRPr="004451F9">
        <w:rPr>
          <w:rFonts w:cs="Times New Roman"/>
          <w:sz w:val="24"/>
          <w:szCs w:val="24"/>
        </w:rPr>
        <w:t>xtremist demonstrations,</w:t>
      </w:r>
      <w:r w:rsidR="006B061F" w:rsidRPr="004451F9">
        <w:rPr>
          <w:rFonts w:cs="Times New Roman"/>
          <w:sz w:val="24"/>
          <w:szCs w:val="24"/>
        </w:rPr>
        <w:t xml:space="preserve"> the military again intervened</w:t>
      </w:r>
      <w:r w:rsidR="00453106" w:rsidRPr="004451F9">
        <w:rPr>
          <w:rFonts w:cs="Times New Roman"/>
          <w:sz w:val="24"/>
          <w:szCs w:val="24"/>
        </w:rPr>
        <w:t xml:space="preserve"> and forced the Justice Party's prime minister to resign</w:t>
      </w:r>
      <w:r w:rsidR="006B061F" w:rsidRPr="004451F9">
        <w:rPr>
          <w:rFonts w:cs="Times New Roman"/>
          <w:sz w:val="24"/>
          <w:szCs w:val="24"/>
        </w:rPr>
        <w:t>.</w:t>
      </w:r>
      <w:r w:rsidR="005332F5" w:rsidRPr="004451F9">
        <w:rPr>
          <w:rStyle w:val="FootnoteReference"/>
          <w:rFonts w:cs="Times New Roman"/>
          <w:sz w:val="24"/>
          <w:szCs w:val="24"/>
        </w:rPr>
        <w:footnoteReference w:id="93"/>
      </w:r>
      <w:r w:rsidR="006B061F" w:rsidRPr="004451F9">
        <w:rPr>
          <w:rFonts w:cs="Times New Roman"/>
          <w:sz w:val="24"/>
          <w:szCs w:val="24"/>
        </w:rPr>
        <w:t xml:space="preserve"> </w:t>
      </w:r>
      <w:r w:rsidR="00BD6925" w:rsidRPr="004451F9">
        <w:rPr>
          <w:rFonts w:cs="Times New Roman"/>
          <w:sz w:val="24"/>
          <w:szCs w:val="24"/>
        </w:rPr>
        <w:t xml:space="preserve">In the first few years after the first military intervention as well as during the 1970s after the second military intervention, Turkey experienced a plurality of parties and was ruled by coalition governments that became </w:t>
      </w:r>
      <w:r w:rsidR="00BD6925" w:rsidRPr="004451F9">
        <w:rPr>
          <w:rFonts w:cs="Times New Roman"/>
          <w:sz w:val="24"/>
          <w:szCs w:val="24"/>
        </w:rPr>
        <w:lastRenderedPageBreak/>
        <w:t>increasingly polarized and, in the wake of the resulting political violence and domestic terrorism, slung blame instead of making compromises.</w:t>
      </w:r>
      <w:r w:rsidR="00BD6925" w:rsidRPr="004451F9">
        <w:rPr>
          <w:rStyle w:val="FootnoteReference"/>
          <w:rFonts w:cs="Times New Roman"/>
          <w:sz w:val="24"/>
          <w:szCs w:val="24"/>
        </w:rPr>
        <w:footnoteReference w:id="94"/>
      </w:r>
      <w:r w:rsidR="00BD6925" w:rsidRPr="004451F9">
        <w:rPr>
          <w:rFonts w:cs="Times New Roman"/>
          <w:sz w:val="24"/>
          <w:szCs w:val="24"/>
        </w:rPr>
        <w:t xml:space="preserve"> </w:t>
      </w:r>
    </w:p>
    <w:p w:rsidR="00FE3212" w:rsidRPr="004451F9" w:rsidRDefault="006B061F" w:rsidP="00B35AC7">
      <w:pPr>
        <w:spacing w:after="0" w:line="480" w:lineRule="auto"/>
        <w:ind w:firstLine="720"/>
        <w:rPr>
          <w:rFonts w:cs="Times New Roman"/>
          <w:sz w:val="24"/>
          <w:szCs w:val="24"/>
        </w:rPr>
      </w:pPr>
      <w:r w:rsidRPr="004451F9">
        <w:rPr>
          <w:rFonts w:cs="Times New Roman"/>
          <w:sz w:val="24"/>
          <w:szCs w:val="24"/>
        </w:rPr>
        <w:t xml:space="preserve">In 1980, </w:t>
      </w:r>
      <w:r w:rsidR="00BD6925" w:rsidRPr="004451F9">
        <w:rPr>
          <w:rFonts w:cs="Times New Roman"/>
          <w:sz w:val="24"/>
          <w:szCs w:val="24"/>
        </w:rPr>
        <w:t xml:space="preserve">once </w:t>
      </w:r>
      <w:r w:rsidRPr="004451F9">
        <w:rPr>
          <w:rFonts w:cs="Times New Roman"/>
          <w:sz w:val="24"/>
          <w:szCs w:val="24"/>
        </w:rPr>
        <w:t>ag</w:t>
      </w:r>
      <w:r w:rsidR="00BD6925" w:rsidRPr="004451F9">
        <w:rPr>
          <w:rFonts w:cs="Times New Roman"/>
          <w:sz w:val="24"/>
          <w:szCs w:val="24"/>
        </w:rPr>
        <w:t>ain after escalating violence</w:t>
      </w:r>
      <w:r w:rsidRPr="004451F9">
        <w:rPr>
          <w:rFonts w:cs="Times New Roman"/>
          <w:sz w:val="24"/>
          <w:szCs w:val="24"/>
        </w:rPr>
        <w:t>, the military ruled for three years and oversaw the creation of new political parties</w:t>
      </w:r>
      <w:r w:rsidR="00FD0BB2" w:rsidRPr="004451F9">
        <w:rPr>
          <w:rFonts w:cs="Times New Roman"/>
          <w:sz w:val="24"/>
          <w:szCs w:val="24"/>
        </w:rPr>
        <w:t xml:space="preserve"> after banning </w:t>
      </w:r>
      <w:r w:rsidR="00FD0BB2" w:rsidRPr="004451F9">
        <w:rPr>
          <w:rFonts w:cs="Times New Roman"/>
          <w:i/>
          <w:sz w:val="24"/>
          <w:szCs w:val="24"/>
        </w:rPr>
        <w:t>all</w:t>
      </w:r>
      <w:r w:rsidR="00FD0BB2" w:rsidRPr="004451F9">
        <w:rPr>
          <w:rFonts w:cs="Times New Roman"/>
          <w:sz w:val="24"/>
          <w:szCs w:val="24"/>
        </w:rPr>
        <w:t xml:space="preserve"> of the old ones</w:t>
      </w:r>
      <w:r w:rsidRPr="004451F9">
        <w:rPr>
          <w:rFonts w:cs="Times New Roman"/>
          <w:sz w:val="24"/>
          <w:szCs w:val="24"/>
        </w:rPr>
        <w:t>.</w:t>
      </w:r>
      <w:r w:rsidR="005332F5" w:rsidRPr="004451F9">
        <w:rPr>
          <w:rStyle w:val="FootnoteReference"/>
          <w:rFonts w:cs="Times New Roman"/>
          <w:sz w:val="24"/>
          <w:szCs w:val="24"/>
        </w:rPr>
        <w:footnoteReference w:id="95"/>
      </w:r>
      <w:r w:rsidRPr="004451F9">
        <w:rPr>
          <w:rFonts w:cs="Times New Roman"/>
          <w:sz w:val="24"/>
          <w:szCs w:val="24"/>
        </w:rPr>
        <w:t xml:space="preserve"> </w:t>
      </w:r>
      <w:r w:rsidR="00A25CB3" w:rsidRPr="004451F9">
        <w:rPr>
          <w:rFonts w:cs="Times New Roman"/>
          <w:sz w:val="24"/>
          <w:szCs w:val="24"/>
        </w:rPr>
        <w:t>In the interim, the</w:t>
      </w:r>
      <w:r w:rsidR="004D74C0" w:rsidRPr="004451F9">
        <w:rPr>
          <w:rFonts w:cs="Times New Roman"/>
          <w:sz w:val="24"/>
          <w:szCs w:val="24"/>
        </w:rPr>
        <w:t xml:space="preserve"> </w:t>
      </w:r>
      <w:r w:rsidR="00A25CB3" w:rsidRPr="004451F9">
        <w:rPr>
          <w:rFonts w:cs="Times New Roman"/>
          <w:sz w:val="24"/>
          <w:szCs w:val="24"/>
        </w:rPr>
        <w:t>National Security Council</w:t>
      </w:r>
      <w:r w:rsidR="004D74C0" w:rsidRPr="004451F9">
        <w:rPr>
          <w:rFonts w:cs="Times New Roman"/>
          <w:sz w:val="24"/>
          <w:szCs w:val="24"/>
        </w:rPr>
        <w:t xml:space="preserve"> </w:t>
      </w:r>
      <w:r w:rsidR="00EE04D8" w:rsidRPr="004451F9">
        <w:rPr>
          <w:rFonts w:cs="Times New Roman"/>
          <w:sz w:val="24"/>
          <w:szCs w:val="24"/>
        </w:rPr>
        <w:t xml:space="preserve">(NSC) </w:t>
      </w:r>
      <w:r w:rsidR="004D74C0" w:rsidRPr="004451F9">
        <w:rPr>
          <w:rFonts w:cs="Times New Roman"/>
          <w:sz w:val="24"/>
          <w:szCs w:val="24"/>
        </w:rPr>
        <w:t>banned former political leaders from seeking office, vetoed most other candidates, and created two parties predicted to be favorable to military interests, headed by a retired general and a former bureaucrat.</w:t>
      </w:r>
      <w:r w:rsidR="004D74C0" w:rsidRPr="004451F9">
        <w:rPr>
          <w:rStyle w:val="FootnoteReference"/>
          <w:rFonts w:cs="Times New Roman"/>
          <w:sz w:val="24"/>
          <w:szCs w:val="24"/>
        </w:rPr>
        <w:footnoteReference w:id="96"/>
      </w:r>
      <w:r w:rsidR="004D74C0" w:rsidRPr="004451F9">
        <w:rPr>
          <w:rFonts w:cs="Times New Roman"/>
          <w:sz w:val="24"/>
          <w:szCs w:val="24"/>
        </w:rPr>
        <w:t xml:space="preserve"> </w:t>
      </w:r>
      <w:r w:rsidRPr="004451F9">
        <w:rPr>
          <w:rFonts w:cs="Times New Roman"/>
          <w:sz w:val="24"/>
          <w:szCs w:val="24"/>
        </w:rPr>
        <w:t xml:space="preserve">However, </w:t>
      </w:r>
      <w:r w:rsidR="00997F23" w:rsidRPr="004451F9">
        <w:rPr>
          <w:rFonts w:cs="Times New Roman"/>
          <w:sz w:val="24"/>
          <w:szCs w:val="24"/>
        </w:rPr>
        <w:t xml:space="preserve">in the 1983 election </w:t>
      </w:r>
      <w:r w:rsidRPr="004451F9">
        <w:rPr>
          <w:rFonts w:cs="Times New Roman"/>
          <w:sz w:val="24"/>
          <w:szCs w:val="24"/>
        </w:rPr>
        <w:t>voters installed the Motherland Party</w:t>
      </w:r>
      <w:r w:rsidR="00997F23" w:rsidRPr="004451F9">
        <w:rPr>
          <w:rFonts w:cs="Times New Roman"/>
          <w:sz w:val="24"/>
          <w:szCs w:val="24"/>
        </w:rPr>
        <w:t>,</w:t>
      </w:r>
      <w:r w:rsidRPr="004451F9">
        <w:rPr>
          <w:rFonts w:cs="Times New Roman"/>
          <w:sz w:val="24"/>
          <w:szCs w:val="24"/>
        </w:rPr>
        <w:t xml:space="preserve"> the only party not "beholden </w:t>
      </w:r>
      <w:r w:rsidR="004D74C0" w:rsidRPr="004451F9">
        <w:rPr>
          <w:rFonts w:cs="Times New Roman"/>
          <w:sz w:val="24"/>
          <w:szCs w:val="24"/>
        </w:rPr>
        <w:t>to the outgoing military regime,</w:t>
      </w:r>
      <w:r w:rsidRPr="004451F9">
        <w:rPr>
          <w:rFonts w:cs="Times New Roman"/>
          <w:sz w:val="24"/>
          <w:szCs w:val="24"/>
        </w:rPr>
        <w:t>"</w:t>
      </w:r>
      <w:r w:rsidR="005332F5" w:rsidRPr="004451F9">
        <w:rPr>
          <w:rStyle w:val="FootnoteReference"/>
          <w:rFonts w:cs="Times New Roman"/>
          <w:sz w:val="24"/>
          <w:szCs w:val="24"/>
        </w:rPr>
        <w:footnoteReference w:id="97"/>
      </w:r>
      <w:r w:rsidR="004D74C0" w:rsidRPr="004451F9">
        <w:rPr>
          <w:rFonts w:cs="Times New Roman"/>
          <w:sz w:val="24"/>
          <w:szCs w:val="24"/>
        </w:rPr>
        <w:t xml:space="preserve"> which the NSC had allowed to participate "on the assumption that it would not win enough popular support to alter the political outcome preferred by the military."</w:t>
      </w:r>
      <w:r w:rsidR="004D74C0" w:rsidRPr="004451F9">
        <w:rPr>
          <w:rStyle w:val="FootnoteReference"/>
          <w:rFonts w:cs="Times New Roman"/>
          <w:sz w:val="24"/>
          <w:szCs w:val="24"/>
        </w:rPr>
        <w:footnoteReference w:id="98"/>
      </w:r>
      <w:r w:rsidR="007F3A65" w:rsidRPr="004451F9">
        <w:rPr>
          <w:rFonts w:cs="Times New Roman"/>
          <w:sz w:val="24"/>
          <w:szCs w:val="24"/>
        </w:rPr>
        <w:t xml:space="preserve"> </w:t>
      </w:r>
      <w:r w:rsidR="00FD0BB2" w:rsidRPr="004451F9">
        <w:rPr>
          <w:rFonts w:cs="Times New Roman"/>
          <w:sz w:val="24"/>
          <w:szCs w:val="24"/>
        </w:rPr>
        <w:t>The Motherland Party became the first party outside the traditional political cleavages in Turkey to gain dominance, which it held during the 1980s.</w:t>
      </w:r>
      <w:r w:rsidR="00934415" w:rsidRPr="004451F9">
        <w:rPr>
          <w:rStyle w:val="FootnoteReference"/>
          <w:rFonts w:cs="Times New Roman"/>
          <w:sz w:val="24"/>
          <w:szCs w:val="24"/>
        </w:rPr>
        <w:footnoteReference w:id="99"/>
      </w:r>
      <w:r w:rsidR="00FD0BB2" w:rsidRPr="004451F9">
        <w:rPr>
          <w:rFonts w:cs="Times New Roman"/>
          <w:sz w:val="24"/>
          <w:szCs w:val="24"/>
        </w:rPr>
        <w:t xml:space="preserve"> </w:t>
      </w:r>
      <w:r w:rsidR="004D74C0" w:rsidRPr="004451F9">
        <w:rPr>
          <w:rFonts w:cs="Times New Roman"/>
          <w:sz w:val="24"/>
          <w:szCs w:val="24"/>
        </w:rPr>
        <w:t>The two traditionally dominant parties (along the center-periphery divide), a</w:t>
      </w:r>
      <w:r w:rsidR="00113E33" w:rsidRPr="004451F9">
        <w:rPr>
          <w:rFonts w:cs="Times New Roman"/>
          <w:sz w:val="24"/>
          <w:szCs w:val="24"/>
        </w:rPr>
        <w:t xml:space="preserve">fter being banned by the military in 1980, </w:t>
      </w:r>
      <w:r w:rsidR="00714A7D" w:rsidRPr="004451F9">
        <w:rPr>
          <w:rFonts w:cs="Times New Roman"/>
          <w:sz w:val="24"/>
          <w:szCs w:val="24"/>
        </w:rPr>
        <w:t>fragmented into several groups;</w:t>
      </w:r>
      <w:r w:rsidR="00934415" w:rsidRPr="004451F9">
        <w:rPr>
          <w:rFonts w:cs="Times New Roman"/>
          <w:sz w:val="24"/>
          <w:szCs w:val="24"/>
        </w:rPr>
        <w:t xml:space="preserve"> but once they began to resolidify their voter bases</w:t>
      </w:r>
      <w:r w:rsidR="004D74C0" w:rsidRPr="004451F9">
        <w:rPr>
          <w:rFonts w:cs="Times New Roman"/>
          <w:sz w:val="24"/>
          <w:szCs w:val="24"/>
        </w:rPr>
        <w:t xml:space="preserve"> and a referendum allowed former political leaders to participate again</w:t>
      </w:r>
      <w:r w:rsidR="00934415" w:rsidRPr="004451F9">
        <w:rPr>
          <w:rFonts w:cs="Times New Roman"/>
          <w:sz w:val="24"/>
          <w:szCs w:val="24"/>
        </w:rPr>
        <w:t>, coalition and minority governments dominated in the 1990s</w:t>
      </w:r>
      <w:r w:rsidR="00113E33" w:rsidRPr="004451F9">
        <w:rPr>
          <w:rFonts w:cs="Times New Roman"/>
          <w:sz w:val="24"/>
          <w:szCs w:val="24"/>
        </w:rPr>
        <w:t xml:space="preserve">, </w:t>
      </w:r>
      <w:r w:rsidR="00714A7D" w:rsidRPr="004451F9">
        <w:rPr>
          <w:rFonts w:cs="Times New Roman"/>
          <w:sz w:val="24"/>
          <w:szCs w:val="24"/>
        </w:rPr>
        <w:t>and</w:t>
      </w:r>
      <w:r w:rsidR="00113E33" w:rsidRPr="004451F9">
        <w:rPr>
          <w:rFonts w:cs="Times New Roman"/>
          <w:sz w:val="24"/>
          <w:szCs w:val="24"/>
        </w:rPr>
        <w:t xml:space="preserve"> more radical parties</w:t>
      </w:r>
      <w:r w:rsidR="00714A7D" w:rsidRPr="004451F9">
        <w:rPr>
          <w:rFonts w:cs="Times New Roman"/>
          <w:sz w:val="24"/>
          <w:szCs w:val="24"/>
        </w:rPr>
        <w:t xml:space="preserve"> began to emerge</w:t>
      </w:r>
      <w:r w:rsidR="00113E33" w:rsidRPr="004451F9">
        <w:rPr>
          <w:rFonts w:cs="Times New Roman"/>
          <w:sz w:val="24"/>
          <w:szCs w:val="24"/>
        </w:rPr>
        <w:t>.</w:t>
      </w:r>
      <w:r w:rsidR="00113E33" w:rsidRPr="004451F9">
        <w:rPr>
          <w:rStyle w:val="FootnoteReference"/>
          <w:rFonts w:cs="Times New Roman"/>
          <w:sz w:val="24"/>
          <w:szCs w:val="24"/>
        </w:rPr>
        <w:footnoteReference w:id="100"/>
      </w:r>
      <w:r w:rsidR="00113E33" w:rsidRPr="004451F9">
        <w:rPr>
          <w:rFonts w:cs="Times New Roman"/>
          <w:sz w:val="24"/>
          <w:szCs w:val="24"/>
        </w:rPr>
        <w:t xml:space="preserve"> From 1995-97 for the first time a pro-Islamist party held the largest slice of the electoral pie.</w:t>
      </w:r>
      <w:r w:rsidR="00113E33" w:rsidRPr="004451F9">
        <w:rPr>
          <w:rStyle w:val="FootnoteReference"/>
          <w:rFonts w:cs="Times New Roman"/>
          <w:sz w:val="24"/>
          <w:szCs w:val="24"/>
        </w:rPr>
        <w:footnoteReference w:id="101"/>
      </w:r>
      <w:r w:rsidR="00113E33" w:rsidRPr="004451F9">
        <w:rPr>
          <w:rFonts w:cs="Times New Roman"/>
          <w:sz w:val="24"/>
          <w:szCs w:val="24"/>
        </w:rPr>
        <w:t xml:space="preserve"> </w:t>
      </w:r>
      <w:r w:rsidR="007F3A65" w:rsidRPr="004451F9">
        <w:rPr>
          <w:rFonts w:cs="Times New Roman"/>
          <w:sz w:val="24"/>
          <w:szCs w:val="24"/>
        </w:rPr>
        <w:t>After a soft coup in 1997, the military implemented some extreme secular</w:t>
      </w:r>
      <w:r w:rsidR="00FD0BB2" w:rsidRPr="004451F9">
        <w:rPr>
          <w:rFonts w:cs="Times New Roman"/>
          <w:sz w:val="24"/>
          <w:szCs w:val="24"/>
        </w:rPr>
        <w:t xml:space="preserve"> mandates that</w:t>
      </w:r>
      <w:r w:rsidR="007F3A65" w:rsidRPr="004451F9">
        <w:rPr>
          <w:rFonts w:cs="Times New Roman"/>
          <w:sz w:val="24"/>
          <w:szCs w:val="24"/>
        </w:rPr>
        <w:t xml:space="preserve"> many Turks found oppressive to their practice of Islam, causing </w:t>
      </w:r>
      <w:r w:rsidR="007F3A65" w:rsidRPr="004451F9">
        <w:rPr>
          <w:rFonts w:cs="Times New Roman"/>
          <w:sz w:val="24"/>
          <w:szCs w:val="24"/>
        </w:rPr>
        <w:lastRenderedPageBreak/>
        <w:t>the military to lose much support.</w:t>
      </w:r>
      <w:r w:rsidR="007F3A65" w:rsidRPr="004451F9">
        <w:rPr>
          <w:rStyle w:val="FootnoteReference"/>
          <w:rFonts w:cs="Times New Roman"/>
          <w:sz w:val="24"/>
          <w:szCs w:val="24"/>
        </w:rPr>
        <w:footnoteReference w:id="102"/>
      </w:r>
      <w:r w:rsidR="003E10E4" w:rsidRPr="004451F9">
        <w:rPr>
          <w:rFonts w:cs="Times New Roman"/>
          <w:sz w:val="24"/>
          <w:szCs w:val="24"/>
        </w:rPr>
        <w:t xml:space="preserve"> In combination with the Cop</w:t>
      </w:r>
      <w:r w:rsidR="00EE04D8" w:rsidRPr="004451F9">
        <w:rPr>
          <w:rFonts w:cs="Times New Roman"/>
          <w:sz w:val="24"/>
          <w:szCs w:val="24"/>
        </w:rPr>
        <w:t>enhagen criteria for Turkey's European Union</w:t>
      </w:r>
      <w:r w:rsidR="003E10E4" w:rsidRPr="004451F9">
        <w:rPr>
          <w:rFonts w:cs="Times New Roman"/>
          <w:sz w:val="24"/>
          <w:szCs w:val="24"/>
        </w:rPr>
        <w:t xml:space="preserve"> membership, which required a removal of military influence from the political sphere, the military's power shrank and political freedom expanded.</w:t>
      </w:r>
      <w:r w:rsidR="003E10E4" w:rsidRPr="004451F9">
        <w:rPr>
          <w:rStyle w:val="FootnoteReference"/>
          <w:rFonts w:cs="Times New Roman"/>
          <w:sz w:val="24"/>
          <w:szCs w:val="24"/>
        </w:rPr>
        <w:footnoteReference w:id="103"/>
      </w:r>
    </w:p>
    <w:p w:rsidR="00B35AC7" w:rsidRPr="004451F9" w:rsidRDefault="00714A7D" w:rsidP="00B35AC7">
      <w:pPr>
        <w:spacing w:after="0" w:line="480" w:lineRule="auto"/>
        <w:ind w:firstLine="720"/>
        <w:rPr>
          <w:sz w:val="24"/>
          <w:szCs w:val="24"/>
        </w:rPr>
      </w:pPr>
      <w:r w:rsidRPr="004451F9">
        <w:rPr>
          <w:sz w:val="24"/>
          <w:szCs w:val="24"/>
        </w:rPr>
        <w:t>Unfortunately, the late 1990s bore increased political fragmentation and polarization, economic and social crises, and widespread political corruption.</w:t>
      </w:r>
      <w:r w:rsidRPr="004451F9">
        <w:rPr>
          <w:rStyle w:val="FootnoteReference"/>
          <w:sz w:val="24"/>
          <w:szCs w:val="24"/>
        </w:rPr>
        <w:footnoteReference w:id="104"/>
      </w:r>
      <w:r w:rsidRPr="004451F9">
        <w:rPr>
          <w:sz w:val="24"/>
          <w:szCs w:val="24"/>
        </w:rPr>
        <w:t xml:space="preserve"> </w:t>
      </w:r>
      <w:r w:rsidR="00827A66" w:rsidRPr="004451F9">
        <w:rPr>
          <w:sz w:val="24"/>
          <w:szCs w:val="24"/>
        </w:rPr>
        <w:t>In the wake of this, t</w:t>
      </w:r>
      <w:r w:rsidR="002128B7" w:rsidRPr="004451F9">
        <w:rPr>
          <w:sz w:val="24"/>
          <w:szCs w:val="24"/>
        </w:rPr>
        <w:t>he Justice and Development Party (JDP), also known as the AK Parti</w:t>
      </w:r>
      <w:r w:rsidR="00AA3870" w:rsidRPr="004451F9">
        <w:rPr>
          <w:sz w:val="24"/>
          <w:szCs w:val="24"/>
        </w:rPr>
        <w:t>,</w:t>
      </w:r>
      <w:r w:rsidR="002128B7" w:rsidRPr="004451F9">
        <w:rPr>
          <w:sz w:val="24"/>
          <w:szCs w:val="24"/>
        </w:rPr>
        <w:t xml:space="preserve"> came to power </w:t>
      </w:r>
      <w:r w:rsidR="00AA3870" w:rsidRPr="004451F9">
        <w:rPr>
          <w:sz w:val="24"/>
          <w:szCs w:val="24"/>
        </w:rPr>
        <w:t xml:space="preserve">after moderating its politics and won enough seats </w:t>
      </w:r>
      <w:r w:rsidR="002128B7" w:rsidRPr="004451F9">
        <w:rPr>
          <w:sz w:val="24"/>
          <w:szCs w:val="24"/>
        </w:rPr>
        <w:t>in the 2002 national elections</w:t>
      </w:r>
      <w:r w:rsidR="00AA3870" w:rsidRPr="004451F9">
        <w:rPr>
          <w:sz w:val="24"/>
          <w:szCs w:val="24"/>
        </w:rPr>
        <w:t xml:space="preserve"> "to form a single party government"</w:t>
      </w:r>
      <w:r w:rsidR="002128B7" w:rsidRPr="004451F9">
        <w:rPr>
          <w:rStyle w:val="FootnoteReference"/>
          <w:rFonts w:cs="Times New Roman"/>
          <w:sz w:val="24"/>
          <w:szCs w:val="24"/>
        </w:rPr>
        <w:footnoteReference w:id="105"/>
      </w:r>
      <w:r w:rsidRPr="004451F9">
        <w:rPr>
          <w:sz w:val="24"/>
          <w:szCs w:val="24"/>
        </w:rPr>
        <w:t xml:space="preserve"> – thus</w:t>
      </w:r>
      <w:r w:rsidR="00AA3870" w:rsidRPr="004451F9">
        <w:rPr>
          <w:sz w:val="24"/>
          <w:szCs w:val="24"/>
        </w:rPr>
        <w:t xml:space="preserve"> </w:t>
      </w:r>
      <w:r w:rsidR="002C66D9" w:rsidRPr="004451F9">
        <w:rPr>
          <w:sz w:val="24"/>
          <w:szCs w:val="24"/>
        </w:rPr>
        <w:t xml:space="preserve">returning </w:t>
      </w:r>
      <w:r w:rsidR="00AA3870" w:rsidRPr="004451F9">
        <w:rPr>
          <w:sz w:val="24"/>
          <w:szCs w:val="24"/>
        </w:rPr>
        <w:t xml:space="preserve">Turkey </w:t>
      </w:r>
      <w:r w:rsidR="002C66D9" w:rsidRPr="004451F9">
        <w:rPr>
          <w:sz w:val="24"/>
          <w:szCs w:val="24"/>
        </w:rPr>
        <w:t>to</w:t>
      </w:r>
      <w:r w:rsidR="00AA3870" w:rsidRPr="004451F9">
        <w:rPr>
          <w:sz w:val="24"/>
          <w:szCs w:val="24"/>
        </w:rPr>
        <w:t xml:space="preserve"> a dominant-party system.</w:t>
      </w:r>
      <w:r w:rsidR="00867B1B" w:rsidRPr="004451F9">
        <w:rPr>
          <w:rStyle w:val="FootnoteReference"/>
          <w:sz w:val="24"/>
          <w:szCs w:val="24"/>
        </w:rPr>
        <w:footnoteReference w:id="106"/>
      </w:r>
      <w:r w:rsidR="00AA3870" w:rsidRPr="004451F9">
        <w:rPr>
          <w:sz w:val="24"/>
          <w:szCs w:val="24"/>
        </w:rPr>
        <w:t xml:space="preserve"> </w:t>
      </w:r>
      <w:r w:rsidR="009F2350" w:rsidRPr="004451F9">
        <w:rPr>
          <w:sz w:val="24"/>
          <w:szCs w:val="24"/>
        </w:rPr>
        <w:t xml:space="preserve">The JDP was the offspring of the Welfare and Virtue parties, </w:t>
      </w:r>
      <w:r w:rsidR="00B91F73" w:rsidRPr="004451F9">
        <w:rPr>
          <w:sz w:val="24"/>
          <w:szCs w:val="24"/>
        </w:rPr>
        <w:t xml:space="preserve">which were </w:t>
      </w:r>
      <w:r w:rsidR="009F2350" w:rsidRPr="004451F9">
        <w:rPr>
          <w:sz w:val="24"/>
          <w:szCs w:val="24"/>
        </w:rPr>
        <w:t>abolished by the Constitutiona</w:t>
      </w:r>
      <w:r w:rsidR="00B91F73" w:rsidRPr="004451F9">
        <w:rPr>
          <w:sz w:val="24"/>
          <w:szCs w:val="24"/>
        </w:rPr>
        <w:t>l Court for violating secular principles</w:t>
      </w:r>
      <w:r w:rsidR="009F2350" w:rsidRPr="004451F9">
        <w:rPr>
          <w:sz w:val="24"/>
          <w:szCs w:val="24"/>
        </w:rPr>
        <w:t>.</w:t>
      </w:r>
      <w:r w:rsidR="009F2350" w:rsidRPr="004451F9">
        <w:rPr>
          <w:rStyle w:val="FootnoteReference"/>
          <w:rFonts w:cs="Times New Roman"/>
          <w:sz w:val="24"/>
          <w:szCs w:val="24"/>
        </w:rPr>
        <w:footnoteReference w:id="107"/>
      </w:r>
      <w:r w:rsidR="009F2350" w:rsidRPr="004451F9">
        <w:rPr>
          <w:sz w:val="24"/>
          <w:szCs w:val="24"/>
        </w:rPr>
        <w:t xml:space="preserve"> </w:t>
      </w:r>
      <w:r w:rsidR="002C66D9" w:rsidRPr="004451F9">
        <w:rPr>
          <w:sz w:val="24"/>
          <w:szCs w:val="24"/>
        </w:rPr>
        <w:t>The party is primarily sustained by the Islamic bourgeoisie, a first generation college-educated and urbanized business class, which has roots in provincial towns and villages and grew out of liberalized economic policies that facilitated growth of small- and medium-sized, mostly family-owned businesses.</w:t>
      </w:r>
      <w:r w:rsidR="002C66D9" w:rsidRPr="004451F9">
        <w:rPr>
          <w:rStyle w:val="FootnoteReference"/>
          <w:sz w:val="24"/>
          <w:szCs w:val="24"/>
        </w:rPr>
        <w:footnoteReference w:id="108"/>
      </w:r>
      <w:r w:rsidR="002C66D9" w:rsidRPr="004451F9">
        <w:rPr>
          <w:sz w:val="24"/>
          <w:szCs w:val="24"/>
        </w:rPr>
        <w:t xml:space="preserve"> </w:t>
      </w:r>
      <w:r w:rsidR="00080C1F" w:rsidRPr="004451F9">
        <w:rPr>
          <w:sz w:val="24"/>
          <w:szCs w:val="24"/>
        </w:rPr>
        <w:t>Reflective of Turkey's long opposition party history, the JDP advocates the traditional position of government decentralization and is influenced by Islamic ideals.</w:t>
      </w:r>
      <w:r w:rsidR="00080C1F" w:rsidRPr="004451F9">
        <w:rPr>
          <w:rStyle w:val="FootnoteReference"/>
          <w:sz w:val="24"/>
          <w:szCs w:val="24"/>
        </w:rPr>
        <w:footnoteReference w:id="109"/>
      </w:r>
      <w:r w:rsidR="00080C1F" w:rsidRPr="004451F9">
        <w:rPr>
          <w:sz w:val="24"/>
          <w:szCs w:val="24"/>
        </w:rPr>
        <w:t xml:space="preserve"> </w:t>
      </w:r>
      <w:r w:rsidR="009F2350" w:rsidRPr="004451F9">
        <w:rPr>
          <w:sz w:val="24"/>
          <w:szCs w:val="24"/>
        </w:rPr>
        <w:t>Pr</w:t>
      </w:r>
      <w:r w:rsidR="00D21339" w:rsidRPr="004451F9">
        <w:rPr>
          <w:sz w:val="24"/>
          <w:szCs w:val="24"/>
        </w:rPr>
        <w:t>essures to make changes</w:t>
      </w:r>
      <w:r w:rsidR="009F2350" w:rsidRPr="004451F9">
        <w:rPr>
          <w:sz w:val="24"/>
          <w:szCs w:val="24"/>
        </w:rPr>
        <w:t xml:space="preserve"> to facilitate Turkey's</w:t>
      </w:r>
      <w:r w:rsidR="00EE04D8" w:rsidRPr="004451F9">
        <w:rPr>
          <w:sz w:val="24"/>
          <w:szCs w:val="24"/>
        </w:rPr>
        <w:t xml:space="preserve"> accession to the EU</w:t>
      </w:r>
      <w:r w:rsidR="009F2350" w:rsidRPr="004451F9">
        <w:rPr>
          <w:sz w:val="24"/>
          <w:szCs w:val="24"/>
        </w:rPr>
        <w:t>, as well as the traditional secularist pressures from the state</w:t>
      </w:r>
      <w:r w:rsidR="00D21339" w:rsidRPr="004451F9">
        <w:rPr>
          <w:sz w:val="24"/>
          <w:szCs w:val="24"/>
        </w:rPr>
        <w:t>,</w:t>
      </w:r>
      <w:r w:rsidR="009F2350" w:rsidRPr="004451F9">
        <w:rPr>
          <w:sz w:val="24"/>
          <w:szCs w:val="24"/>
        </w:rPr>
        <w:t xml:space="preserve"> have</w:t>
      </w:r>
      <w:r w:rsidR="00D21339" w:rsidRPr="004451F9">
        <w:rPr>
          <w:sz w:val="24"/>
          <w:szCs w:val="24"/>
        </w:rPr>
        <w:t xml:space="preserve"> resulted in</w:t>
      </w:r>
      <w:r w:rsidR="009F2350" w:rsidRPr="004451F9">
        <w:rPr>
          <w:sz w:val="24"/>
          <w:szCs w:val="24"/>
        </w:rPr>
        <w:t xml:space="preserve"> the JDP's adamant denial of its Islamic roots.</w:t>
      </w:r>
      <w:r w:rsidR="009F2350" w:rsidRPr="004451F9">
        <w:rPr>
          <w:rStyle w:val="FootnoteReference"/>
          <w:rFonts w:cs="Times New Roman"/>
          <w:sz w:val="24"/>
          <w:szCs w:val="24"/>
        </w:rPr>
        <w:footnoteReference w:id="110"/>
      </w:r>
      <w:r w:rsidR="009F2350" w:rsidRPr="004451F9">
        <w:rPr>
          <w:sz w:val="24"/>
          <w:szCs w:val="24"/>
        </w:rPr>
        <w:t xml:space="preserve"> On one hand, this has led the JDP to define itself through a </w:t>
      </w:r>
      <w:r w:rsidR="009F2350" w:rsidRPr="004451F9">
        <w:rPr>
          <w:sz w:val="24"/>
          <w:szCs w:val="24"/>
        </w:rPr>
        <w:lastRenderedPageBreak/>
        <w:t>service-related platform rather than a religious or identity-politics platform; on the other hand, it has led some scho</w:t>
      </w:r>
      <w:r w:rsidR="00080C1F" w:rsidRPr="004451F9">
        <w:rPr>
          <w:sz w:val="24"/>
          <w:szCs w:val="24"/>
        </w:rPr>
        <w:t xml:space="preserve">lars to question whether </w:t>
      </w:r>
      <w:r w:rsidR="00B44331" w:rsidRPr="004451F9">
        <w:rPr>
          <w:sz w:val="24"/>
          <w:szCs w:val="24"/>
        </w:rPr>
        <w:t>Islamic politics</w:t>
      </w:r>
      <w:r w:rsidR="00B44331" w:rsidRPr="004451F9">
        <w:rPr>
          <w:i/>
          <w:sz w:val="24"/>
          <w:szCs w:val="24"/>
        </w:rPr>
        <w:t xml:space="preserve"> </w:t>
      </w:r>
      <w:r w:rsidR="00B44331" w:rsidRPr="004451F9">
        <w:rPr>
          <w:sz w:val="24"/>
          <w:szCs w:val="24"/>
        </w:rPr>
        <w:t>have truly been integrated into or accommodated by the Turkish system</w:t>
      </w:r>
      <w:r w:rsidR="00080C1F" w:rsidRPr="004451F9">
        <w:rPr>
          <w:sz w:val="24"/>
          <w:szCs w:val="24"/>
        </w:rPr>
        <w:t xml:space="preserve"> and others to question whether the party's conservative-democratic-not-Islamist persona is really a façade for Western onlookers</w:t>
      </w:r>
      <w:r w:rsidR="00B44331" w:rsidRPr="004451F9">
        <w:rPr>
          <w:sz w:val="24"/>
          <w:szCs w:val="24"/>
        </w:rPr>
        <w:t>.</w:t>
      </w:r>
      <w:r w:rsidR="00B44331" w:rsidRPr="004451F9">
        <w:rPr>
          <w:rStyle w:val="FootnoteReference"/>
          <w:rFonts w:cs="Times New Roman"/>
          <w:sz w:val="24"/>
          <w:szCs w:val="24"/>
        </w:rPr>
        <w:footnoteReference w:id="111"/>
      </w:r>
      <w:r w:rsidR="007F3A65" w:rsidRPr="004451F9">
        <w:rPr>
          <w:sz w:val="24"/>
          <w:szCs w:val="24"/>
        </w:rPr>
        <w:t xml:space="preserve"> T</w:t>
      </w:r>
      <w:r w:rsidR="00B44331" w:rsidRPr="004451F9">
        <w:rPr>
          <w:sz w:val="24"/>
          <w:szCs w:val="24"/>
        </w:rPr>
        <w:t>he JDP has succeeded at giving a voice to some of the traditional</w:t>
      </w:r>
      <w:r w:rsidR="00B91F73" w:rsidRPr="004451F9">
        <w:rPr>
          <w:sz w:val="24"/>
          <w:szCs w:val="24"/>
        </w:rPr>
        <w:t>ly, politically</w:t>
      </w:r>
      <w:r w:rsidR="00B44331" w:rsidRPr="004451F9">
        <w:rPr>
          <w:sz w:val="24"/>
          <w:szCs w:val="24"/>
        </w:rPr>
        <w:t xml:space="preserve"> marginalized Turkish </w:t>
      </w:r>
      <w:r w:rsidR="00B91F73" w:rsidRPr="004451F9">
        <w:rPr>
          <w:sz w:val="24"/>
          <w:szCs w:val="24"/>
        </w:rPr>
        <w:t>sectors</w:t>
      </w:r>
      <w:r w:rsidR="00B44331" w:rsidRPr="004451F9">
        <w:rPr>
          <w:sz w:val="24"/>
          <w:szCs w:val="24"/>
        </w:rPr>
        <w:t xml:space="preserve">, </w:t>
      </w:r>
      <w:r w:rsidR="007F3A65" w:rsidRPr="004451F9">
        <w:rPr>
          <w:sz w:val="24"/>
          <w:szCs w:val="24"/>
        </w:rPr>
        <w:t xml:space="preserve">but </w:t>
      </w:r>
      <w:r w:rsidR="00B44331" w:rsidRPr="004451F9">
        <w:rPr>
          <w:sz w:val="24"/>
          <w:szCs w:val="24"/>
        </w:rPr>
        <w:t xml:space="preserve">some question whether the transition from identity-based to service-based politics is lasting or will </w:t>
      </w:r>
      <w:r w:rsidR="00B91F73" w:rsidRPr="004451F9">
        <w:rPr>
          <w:sz w:val="24"/>
          <w:szCs w:val="24"/>
        </w:rPr>
        <w:t>revert once</w:t>
      </w:r>
      <w:r w:rsidR="00B44331" w:rsidRPr="004451F9">
        <w:rPr>
          <w:sz w:val="24"/>
          <w:szCs w:val="24"/>
        </w:rPr>
        <w:t xml:space="preserve"> Tu</w:t>
      </w:r>
      <w:r w:rsidR="00EE04D8" w:rsidRPr="004451F9">
        <w:rPr>
          <w:sz w:val="24"/>
          <w:szCs w:val="24"/>
        </w:rPr>
        <w:t>rkey joins the E</w:t>
      </w:r>
      <w:r w:rsidR="00B44331" w:rsidRPr="004451F9">
        <w:rPr>
          <w:sz w:val="24"/>
          <w:szCs w:val="24"/>
        </w:rPr>
        <w:t>U.</w:t>
      </w:r>
      <w:r w:rsidR="00B44331" w:rsidRPr="004451F9">
        <w:rPr>
          <w:rStyle w:val="FootnoteReference"/>
          <w:rFonts w:cs="Times New Roman"/>
          <w:sz w:val="24"/>
          <w:szCs w:val="24"/>
        </w:rPr>
        <w:footnoteReference w:id="112"/>
      </w:r>
      <w:r w:rsidR="00B91F73" w:rsidRPr="004451F9">
        <w:rPr>
          <w:sz w:val="24"/>
          <w:szCs w:val="24"/>
        </w:rPr>
        <w:t xml:space="preserve"> </w:t>
      </w:r>
      <w:r w:rsidR="00867B1B" w:rsidRPr="004451F9">
        <w:rPr>
          <w:sz w:val="24"/>
          <w:szCs w:val="24"/>
        </w:rPr>
        <w:t>And although the party advocates increased political participation, pluralism, and decentralization, its own internal structure is democratically deficient and male-driven.</w:t>
      </w:r>
      <w:r w:rsidR="00867B1B" w:rsidRPr="004451F9">
        <w:rPr>
          <w:rStyle w:val="FootnoteReference"/>
          <w:sz w:val="24"/>
          <w:szCs w:val="24"/>
        </w:rPr>
        <w:footnoteReference w:id="113"/>
      </w:r>
    </w:p>
    <w:p w:rsidR="00863B83" w:rsidRPr="004451F9" w:rsidRDefault="00863B83" w:rsidP="00B35AC7">
      <w:pPr>
        <w:spacing w:after="0" w:line="480" w:lineRule="auto"/>
        <w:rPr>
          <w:rFonts w:cs="Times New Roman"/>
          <w:i/>
          <w:sz w:val="24"/>
          <w:szCs w:val="24"/>
        </w:rPr>
      </w:pPr>
      <w:r w:rsidRPr="004451F9">
        <w:rPr>
          <w:rFonts w:cs="Times New Roman"/>
          <w:sz w:val="24"/>
          <w:szCs w:val="24"/>
        </w:rPr>
        <w:t xml:space="preserve">B. </w:t>
      </w:r>
      <w:r w:rsidRPr="004451F9">
        <w:rPr>
          <w:rFonts w:cs="Times New Roman"/>
          <w:i/>
          <w:sz w:val="24"/>
          <w:szCs w:val="24"/>
        </w:rPr>
        <w:t>Turkey: Constitutional and Legal Rights and Limitations</w:t>
      </w:r>
    </w:p>
    <w:p w:rsidR="00EB4879" w:rsidRPr="004451F9" w:rsidRDefault="00EB4879" w:rsidP="00B35AC7">
      <w:pPr>
        <w:spacing w:after="0" w:line="480" w:lineRule="auto"/>
        <w:ind w:firstLine="720"/>
        <w:rPr>
          <w:rFonts w:cs="Times New Roman"/>
          <w:sz w:val="24"/>
          <w:szCs w:val="24"/>
        </w:rPr>
      </w:pPr>
      <w:r w:rsidRPr="004451F9">
        <w:rPr>
          <w:rFonts w:cs="Times New Roman"/>
          <w:sz w:val="24"/>
          <w:szCs w:val="24"/>
        </w:rPr>
        <w:t>The constitutional rights afforded to political parties in Turkey have waxed and waned through the tenure of several constitutions and their amendments.</w:t>
      </w:r>
      <w:r w:rsidRPr="004451F9">
        <w:rPr>
          <w:rStyle w:val="FootnoteReference"/>
          <w:rFonts w:cs="Times New Roman"/>
          <w:sz w:val="24"/>
          <w:szCs w:val="24"/>
        </w:rPr>
        <w:footnoteReference w:id="114"/>
      </w:r>
      <w:r w:rsidR="004E08F2" w:rsidRPr="004451F9">
        <w:rPr>
          <w:rFonts w:cs="Times New Roman"/>
          <w:sz w:val="24"/>
          <w:szCs w:val="24"/>
        </w:rPr>
        <w:t xml:space="preserve"> Some of the rights of political parties have decreased in correlation to the increase in rights of other groups, namely the military. Turkey's pending application to join the European Union has significantly affected the rights of political parties since the mid-1990s. The battle over secularism has continued, however, and in recent years has taken on constitutional dimensions as the ruling JDP has made or attempted to make many constitutional amendments.</w:t>
      </w:r>
    </w:p>
    <w:p w:rsidR="004E08F2" w:rsidRPr="004451F9" w:rsidRDefault="004E08F2" w:rsidP="00B35AC7">
      <w:pPr>
        <w:spacing w:after="0" w:line="480" w:lineRule="auto"/>
        <w:ind w:firstLine="720"/>
        <w:rPr>
          <w:rFonts w:cs="Times New Roman"/>
          <w:sz w:val="24"/>
          <w:szCs w:val="24"/>
        </w:rPr>
      </w:pPr>
      <w:r w:rsidRPr="004451F9">
        <w:rPr>
          <w:rFonts w:cs="Times New Roman"/>
          <w:sz w:val="24"/>
          <w:szCs w:val="24"/>
        </w:rPr>
        <w:t xml:space="preserve">Interestingly, the historically nationalist focus of one of the dominant Turkish political cleavages can be traced to the first constitution – the 1876 Ottoman Constitution – which stated that "[t]he Ottoman Empire … forms an indivisible whole, from which no portion can be </w:t>
      </w:r>
      <w:r w:rsidRPr="004451F9">
        <w:rPr>
          <w:rFonts w:cs="Times New Roman"/>
          <w:sz w:val="24"/>
          <w:szCs w:val="24"/>
        </w:rPr>
        <w:lastRenderedPageBreak/>
        <w:t>detached under any pretext whatever."</w:t>
      </w:r>
      <w:r w:rsidR="00B01B12" w:rsidRPr="004451F9">
        <w:rPr>
          <w:rStyle w:val="FootnoteReference"/>
          <w:rFonts w:cs="Times New Roman"/>
          <w:sz w:val="24"/>
          <w:szCs w:val="24"/>
        </w:rPr>
        <w:footnoteReference w:id="115"/>
      </w:r>
      <w:r w:rsidR="00B01B12" w:rsidRPr="004451F9">
        <w:rPr>
          <w:rFonts w:cs="Times New Roman"/>
          <w:sz w:val="24"/>
          <w:szCs w:val="24"/>
        </w:rPr>
        <w:t xml:space="preserve"> Although that constitution guaranteed many personal rights such as inviolable personal liberty, freedom of religion, the right to education, and the right to personal property, the right to assemble and form political parties is not in the Ottoman Constitution.</w:t>
      </w:r>
      <w:r w:rsidR="00B01B12" w:rsidRPr="004451F9">
        <w:rPr>
          <w:rStyle w:val="FootnoteReference"/>
          <w:rFonts w:cs="Times New Roman"/>
          <w:sz w:val="24"/>
          <w:szCs w:val="24"/>
        </w:rPr>
        <w:footnoteReference w:id="116"/>
      </w:r>
      <w:r w:rsidR="00B01B12" w:rsidRPr="004451F9">
        <w:rPr>
          <w:rFonts w:cs="Times New Roman"/>
          <w:sz w:val="24"/>
          <w:szCs w:val="24"/>
        </w:rPr>
        <w:t xml:space="preserve"> Eligibility for public office was conditioned on knowledge of Turkish, and </w:t>
      </w:r>
      <w:r w:rsidR="00F86770" w:rsidRPr="004451F9">
        <w:rPr>
          <w:rFonts w:cs="Times New Roman"/>
          <w:sz w:val="24"/>
          <w:szCs w:val="24"/>
        </w:rPr>
        <w:t>one entire body of the General Assembly was nominated by the Sultan and appointed for life.</w:t>
      </w:r>
      <w:r w:rsidR="00F86770" w:rsidRPr="004451F9">
        <w:rPr>
          <w:rStyle w:val="FootnoteReference"/>
          <w:rFonts w:cs="Times New Roman"/>
          <w:sz w:val="24"/>
          <w:szCs w:val="24"/>
        </w:rPr>
        <w:footnoteReference w:id="117"/>
      </w:r>
      <w:r w:rsidR="00F86770" w:rsidRPr="004451F9">
        <w:rPr>
          <w:rFonts w:cs="Times New Roman"/>
          <w:sz w:val="24"/>
          <w:szCs w:val="24"/>
        </w:rPr>
        <w:t xml:space="preserve"> Political freedom was further constrained because legislative initiative was designated to the Ministers, appointed by the Sultan.</w:t>
      </w:r>
      <w:r w:rsidR="00F86770" w:rsidRPr="004451F9">
        <w:rPr>
          <w:rStyle w:val="FootnoteReference"/>
          <w:rFonts w:cs="Times New Roman"/>
          <w:sz w:val="24"/>
          <w:szCs w:val="24"/>
        </w:rPr>
        <w:footnoteReference w:id="118"/>
      </w:r>
      <w:r w:rsidR="00E44A8B" w:rsidRPr="004451F9">
        <w:rPr>
          <w:rFonts w:cs="Times New Roman"/>
          <w:sz w:val="24"/>
          <w:szCs w:val="24"/>
        </w:rPr>
        <w:t xml:space="preserve"> After the Committee for Union and Progress</w:t>
      </w:r>
      <w:r w:rsidR="001E1D79" w:rsidRPr="004451F9">
        <w:rPr>
          <w:rFonts w:cs="Times New Roman"/>
          <w:sz w:val="24"/>
          <w:szCs w:val="24"/>
        </w:rPr>
        <w:t xml:space="preserve"> (CUP)</w:t>
      </w:r>
      <w:r w:rsidR="00E44A8B" w:rsidRPr="004451F9">
        <w:rPr>
          <w:rFonts w:cs="Times New Roman"/>
          <w:sz w:val="24"/>
          <w:szCs w:val="24"/>
        </w:rPr>
        <w:t xml:space="preserve"> – Mustafa Kemal's first party – forced the Sultan to reinstate the </w:t>
      </w:r>
      <w:r w:rsidR="001E1D79" w:rsidRPr="004451F9">
        <w:rPr>
          <w:rFonts w:cs="Times New Roman"/>
          <w:sz w:val="24"/>
          <w:szCs w:val="24"/>
        </w:rPr>
        <w:t>Ottoman C</w:t>
      </w:r>
      <w:r w:rsidR="00E44A8B" w:rsidRPr="004451F9">
        <w:rPr>
          <w:rFonts w:cs="Times New Roman"/>
          <w:sz w:val="24"/>
          <w:szCs w:val="24"/>
        </w:rPr>
        <w:t>onstitution in 1908, one of the constitutional amendments they secured the following year, tacked on to the end of the Ottoman Constitution, was the right of assembly.</w:t>
      </w:r>
      <w:r w:rsidR="00E44A8B" w:rsidRPr="004451F9">
        <w:rPr>
          <w:rStyle w:val="FootnoteReference"/>
          <w:rFonts w:cs="Times New Roman"/>
          <w:sz w:val="24"/>
          <w:szCs w:val="24"/>
        </w:rPr>
        <w:footnoteReference w:id="119"/>
      </w:r>
      <w:r w:rsidR="001E1D79" w:rsidRPr="004451F9">
        <w:rPr>
          <w:rFonts w:cs="Times New Roman"/>
          <w:sz w:val="24"/>
          <w:szCs w:val="24"/>
        </w:rPr>
        <w:t xml:space="preserve"> Even then, however, groups were forbidden that "aim[ed] at injuring the territorial integrity of the Ottoman Empire … or bringing about a separation between the various Ottoman elements."</w:t>
      </w:r>
      <w:r w:rsidR="001E1D79" w:rsidRPr="004451F9">
        <w:rPr>
          <w:rStyle w:val="FootnoteReference"/>
          <w:rFonts w:cs="Times New Roman"/>
          <w:sz w:val="24"/>
          <w:szCs w:val="24"/>
        </w:rPr>
        <w:footnoteReference w:id="120"/>
      </w:r>
      <w:r w:rsidR="001E1D79" w:rsidRPr="004451F9">
        <w:rPr>
          <w:rFonts w:cs="Times New Roman"/>
          <w:sz w:val="24"/>
          <w:szCs w:val="24"/>
        </w:rPr>
        <w:t xml:space="preserve"> Surprisingly, secret groups were also forbidden, a</w:t>
      </w:r>
      <w:r w:rsidR="00A8363B" w:rsidRPr="004451F9">
        <w:rPr>
          <w:rFonts w:cs="Times New Roman"/>
          <w:sz w:val="24"/>
          <w:szCs w:val="24"/>
        </w:rPr>
        <w:t>lthough the CUP itself began</w:t>
      </w:r>
      <w:r w:rsidR="001E1D79" w:rsidRPr="004451F9">
        <w:rPr>
          <w:rFonts w:cs="Times New Roman"/>
          <w:sz w:val="24"/>
          <w:szCs w:val="24"/>
        </w:rPr>
        <w:t xml:space="preserve"> as a secret society.</w:t>
      </w:r>
      <w:r w:rsidR="001E1D79" w:rsidRPr="004451F9">
        <w:rPr>
          <w:rStyle w:val="FootnoteReference"/>
          <w:rFonts w:cs="Times New Roman"/>
          <w:sz w:val="24"/>
          <w:szCs w:val="24"/>
        </w:rPr>
        <w:footnoteReference w:id="121"/>
      </w:r>
    </w:p>
    <w:p w:rsidR="00EE7738" w:rsidRPr="004451F9" w:rsidRDefault="00E33ADA" w:rsidP="00EE7738">
      <w:pPr>
        <w:spacing w:after="0" w:line="480" w:lineRule="auto"/>
        <w:ind w:firstLine="720"/>
        <w:rPr>
          <w:rFonts w:cs="Times New Roman"/>
          <w:sz w:val="24"/>
          <w:szCs w:val="24"/>
        </w:rPr>
      </w:pPr>
      <w:r w:rsidRPr="004451F9">
        <w:rPr>
          <w:rFonts w:cs="Times New Roman"/>
          <w:sz w:val="24"/>
          <w:szCs w:val="24"/>
        </w:rPr>
        <w:t>After World War I ended, in the midst of Turkey's fight to maintain its independence, the Constitution of 1921 was drafted more out of necessity than anything else.</w:t>
      </w:r>
      <w:r w:rsidRPr="004451F9">
        <w:rPr>
          <w:rStyle w:val="FootnoteReference"/>
          <w:rFonts w:cs="Times New Roman"/>
          <w:sz w:val="24"/>
          <w:szCs w:val="24"/>
        </w:rPr>
        <w:footnoteReference w:id="122"/>
      </w:r>
      <w:r w:rsidRPr="004451F9">
        <w:rPr>
          <w:rFonts w:cs="Times New Roman"/>
          <w:sz w:val="24"/>
          <w:szCs w:val="24"/>
        </w:rPr>
        <w:t xml:space="preserve"> </w:t>
      </w:r>
      <w:r w:rsidR="00FC2118" w:rsidRPr="004451F9">
        <w:rPr>
          <w:rFonts w:cs="Times New Roman"/>
          <w:sz w:val="24"/>
          <w:szCs w:val="24"/>
        </w:rPr>
        <w:t>It vested executive and legislative authority in the Turkish Grand National Assembly,</w:t>
      </w:r>
      <w:r w:rsidR="00FC2118" w:rsidRPr="004451F9">
        <w:rPr>
          <w:rStyle w:val="FootnoteReference"/>
          <w:rFonts w:cs="Times New Roman"/>
          <w:sz w:val="24"/>
          <w:szCs w:val="24"/>
        </w:rPr>
        <w:footnoteReference w:id="123"/>
      </w:r>
      <w:r w:rsidR="002F4ABC" w:rsidRPr="004451F9">
        <w:rPr>
          <w:rFonts w:cs="Times New Roman"/>
          <w:sz w:val="24"/>
          <w:szCs w:val="24"/>
        </w:rPr>
        <w:t xml:space="preserve"> but it did not provide for a </w:t>
      </w:r>
      <w:r w:rsidR="002F4ABC" w:rsidRPr="004451F9">
        <w:rPr>
          <w:rFonts w:cs="Times New Roman"/>
          <w:sz w:val="24"/>
          <w:szCs w:val="24"/>
        </w:rPr>
        <w:lastRenderedPageBreak/>
        <w:t>head of state or define any individual rights.</w:t>
      </w:r>
      <w:r w:rsidR="002F4ABC" w:rsidRPr="004451F9">
        <w:rPr>
          <w:rStyle w:val="FootnoteReference"/>
          <w:rFonts w:cs="Times New Roman"/>
          <w:sz w:val="24"/>
          <w:szCs w:val="24"/>
        </w:rPr>
        <w:footnoteReference w:id="124"/>
      </w:r>
      <w:r w:rsidR="00EE7738" w:rsidRPr="004451F9">
        <w:rPr>
          <w:rFonts w:cs="Times New Roman"/>
          <w:sz w:val="24"/>
          <w:szCs w:val="24"/>
        </w:rPr>
        <w:t xml:space="preserve"> A </w:t>
      </w:r>
      <w:r w:rsidR="002F4ABC" w:rsidRPr="004451F9">
        <w:rPr>
          <w:rFonts w:cs="Times New Roman"/>
          <w:sz w:val="24"/>
          <w:szCs w:val="24"/>
        </w:rPr>
        <w:t xml:space="preserve">year later </w:t>
      </w:r>
      <w:r w:rsidR="00EE7738" w:rsidRPr="004451F9">
        <w:rPr>
          <w:rFonts w:cs="Times New Roman"/>
          <w:sz w:val="24"/>
          <w:szCs w:val="24"/>
        </w:rPr>
        <w:t xml:space="preserve">in 1922 </w:t>
      </w:r>
      <w:r w:rsidR="002F4ABC" w:rsidRPr="004451F9">
        <w:rPr>
          <w:rFonts w:cs="Times New Roman"/>
          <w:sz w:val="24"/>
          <w:szCs w:val="24"/>
        </w:rPr>
        <w:t>the Sultanate was abolished</w:t>
      </w:r>
      <w:r w:rsidR="00EE7738" w:rsidRPr="004451F9">
        <w:rPr>
          <w:rFonts w:cs="Times New Roman"/>
          <w:sz w:val="24"/>
          <w:szCs w:val="24"/>
        </w:rPr>
        <w:t>; in 1923</w:t>
      </w:r>
      <w:r w:rsidR="002F4ABC" w:rsidRPr="004451F9">
        <w:rPr>
          <w:rFonts w:cs="Times New Roman"/>
          <w:sz w:val="24"/>
          <w:szCs w:val="24"/>
        </w:rPr>
        <w:t xml:space="preserve"> the con</w:t>
      </w:r>
      <w:r w:rsidR="00EE7738" w:rsidRPr="004451F9">
        <w:rPr>
          <w:rFonts w:cs="Times New Roman"/>
          <w:sz w:val="24"/>
          <w:szCs w:val="24"/>
        </w:rPr>
        <w:t>stitution was amended to establish Turkey</w:t>
      </w:r>
      <w:r w:rsidR="002F4ABC" w:rsidRPr="004451F9">
        <w:rPr>
          <w:rFonts w:cs="Times New Roman"/>
          <w:sz w:val="24"/>
          <w:szCs w:val="24"/>
        </w:rPr>
        <w:t xml:space="preserve"> as a republic</w:t>
      </w:r>
      <w:r w:rsidR="00EE7738" w:rsidRPr="004451F9">
        <w:rPr>
          <w:rFonts w:cs="Times New Roman"/>
          <w:sz w:val="24"/>
          <w:szCs w:val="24"/>
        </w:rPr>
        <w:t>, and Mustafa Kemal was unanimously elected its first president</w:t>
      </w:r>
      <w:r w:rsidR="002F4ABC" w:rsidRPr="004451F9">
        <w:rPr>
          <w:rFonts w:cs="Times New Roman"/>
          <w:sz w:val="24"/>
          <w:szCs w:val="24"/>
        </w:rPr>
        <w:t>.</w:t>
      </w:r>
      <w:r w:rsidR="00EE7738" w:rsidRPr="004451F9">
        <w:rPr>
          <w:rStyle w:val="FootnoteReference"/>
          <w:rFonts w:cs="Times New Roman"/>
          <w:sz w:val="24"/>
          <w:szCs w:val="24"/>
        </w:rPr>
        <w:footnoteReference w:id="125"/>
      </w:r>
      <w:r w:rsidR="00EE7738" w:rsidRPr="004451F9">
        <w:rPr>
          <w:rFonts w:cs="Times New Roman"/>
          <w:sz w:val="24"/>
          <w:szCs w:val="24"/>
        </w:rPr>
        <w:t xml:space="preserve"> The year after that, the Caliphate was abolished by parliament and a new constitution was adopted</w:t>
      </w:r>
      <w:r w:rsidR="006A1285" w:rsidRPr="004451F9">
        <w:rPr>
          <w:rFonts w:cs="Times New Roman"/>
          <w:sz w:val="24"/>
          <w:szCs w:val="24"/>
        </w:rPr>
        <w:t xml:space="preserve"> a little more than a month later</w:t>
      </w:r>
      <w:r w:rsidR="00EE7738" w:rsidRPr="004451F9">
        <w:rPr>
          <w:rFonts w:cs="Times New Roman"/>
          <w:sz w:val="24"/>
          <w:szCs w:val="24"/>
        </w:rPr>
        <w:t>.</w:t>
      </w:r>
      <w:r w:rsidR="006A1285" w:rsidRPr="004451F9">
        <w:rPr>
          <w:rStyle w:val="FootnoteReference"/>
          <w:rFonts w:cs="Times New Roman"/>
          <w:sz w:val="24"/>
          <w:szCs w:val="24"/>
        </w:rPr>
        <w:footnoteReference w:id="126"/>
      </w:r>
      <w:r w:rsidR="006A1285" w:rsidRPr="004451F9">
        <w:rPr>
          <w:rFonts w:cs="Times New Roman"/>
          <w:sz w:val="24"/>
          <w:szCs w:val="24"/>
        </w:rPr>
        <w:t xml:space="preserve"> </w:t>
      </w:r>
      <w:r w:rsidR="00A831A0" w:rsidRPr="004451F9">
        <w:rPr>
          <w:rFonts w:cs="Times New Roman"/>
          <w:sz w:val="24"/>
          <w:szCs w:val="24"/>
        </w:rPr>
        <w:t>The Constitution of 1924 is somewhat of a combination of some of the rights and limitations outlined in the 1876 Ottoman Constitution, as amended in 1908, and a continuation of the unified legislative and executive power under the parliament in the 1921 Constitution.</w:t>
      </w:r>
      <w:r w:rsidR="00A831A0" w:rsidRPr="004451F9">
        <w:rPr>
          <w:rStyle w:val="FootnoteReference"/>
          <w:rFonts w:cs="Times New Roman"/>
          <w:sz w:val="24"/>
          <w:szCs w:val="24"/>
        </w:rPr>
        <w:footnoteReference w:id="127"/>
      </w:r>
      <w:r w:rsidR="00A831A0" w:rsidRPr="004451F9">
        <w:rPr>
          <w:rFonts w:cs="Times New Roman"/>
          <w:sz w:val="24"/>
          <w:szCs w:val="24"/>
        </w:rPr>
        <w:t xml:space="preserve"> For example, many of the disqualifiers for public officer were the same in the 1876 Constitution and the 1924 Constitution, </w:t>
      </w:r>
      <w:r w:rsidR="00165370" w:rsidRPr="004451F9">
        <w:rPr>
          <w:rFonts w:cs="Times New Roman"/>
          <w:sz w:val="24"/>
          <w:szCs w:val="24"/>
        </w:rPr>
        <w:t>one of which was a lack of</w:t>
      </w:r>
      <w:r w:rsidR="00A831A0" w:rsidRPr="004451F9">
        <w:rPr>
          <w:rFonts w:cs="Times New Roman"/>
          <w:sz w:val="24"/>
          <w:szCs w:val="24"/>
        </w:rPr>
        <w:t xml:space="preserve"> proficiency in the Turkish language</w:t>
      </w:r>
      <w:r w:rsidR="00165370" w:rsidRPr="004451F9">
        <w:rPr>
          <w:rFonts w:cs="Times New Roman"/>
          <w:sz w:val="24"/>
          <w:szCs w:val="24"/>
        </w:rPr>
        <w:t>.</w:t>
      </w:r>
      <w:r w:rsidR="00165370" w:rsidRPr="004451F9">
        <w:rPr>
          <w:rStyle w:val="FootnoteReference"/>
          <w:rFonts w:cs="Times New Roman"/>
          <w:sz w:val="24"/>
          <w:szCs w:val="24"/>
        </w:rPr>
        <w:footnoteReference w:id="128"/>
      </w:r>
      <w:r w:rsidR="00A831A0" w:rsidRPr="004451F9">
        <w:rPr>
          <w:rFonts w:cs="Times New Roman"/>
          <w:sz w:val="24"/>
          <w:szCs w:val="24"/>
        </w:rPr>
        <w:t xml:space="preserve"> </w:t>
      </w:r>
      <w:r w:rsidR="00A67306" w:rsidRPr="004451F9">
        <w:rPr>
          <w:rFonts w:cs="Times New Roman"/>
          <w:sz w:val="24"/>
          <w:szCs w:val="24"/>
        </w:rPr>
        <w:t>The 1924 Constitution provided for a President as the head of state, "elected by the Assembly from among its members,"</w:t>
      </w:r>
      <w:r w:rsidR="00A67306" w:rsidRPr="004451F9">
        <w:rPr>
          <w:rStyle w:val="FootnoteReference"/>
          <w:rFonts w:cs="Times New Roman"/>
          <w:sz w:val="24"/>
          <w:szCs w:val="24"/>
        </w:rPr>
        <w:footnoteReference w:id="129"/>
      </w:r>
      <w:r w:rsidR="00A831A0" w:rsidRPr="004451F9">
        <w:rPr>
          <w:rFonts w:cs="Times New Roman"/>
          <w:sz w:val="24"/>
          <w:szCs w:val="24"/>
        </w:rPr>
        <w:t xml:space="preserve"> </w:t>
      </w:r>
      <w:r w:rsidR="00A67306" w:rsidRPr="004451F9">
        <w:rPr>
          <w:rFonts w:cs="Times New Roman"/>
          <w:sz w:val="24"/>
          <w:szCs w:val="24"/>
        </w:rPr>
        <w:t>thus providing for less democratic, indirect election.</w:t>
      </w:r>
      <w:r w:rsidR="00527E01" w:rsidRPr="004451F9">
        <w:rPr>
          <w:rFonts w:cs="Times New Roman"/>
          <w:sz w:val="24"/>
          <w:szCs w:val="24"/>
        </w:rPr>
        <w:t xml:space="preserve"> Freedom of assembly and association, however, along with traditional individual rights, are enshrined in article </w:t>
      </w:r>
      <w:r w:rsidR="00791D6E" w:rsidRPr="004451F9">
        <w:rPr>
          <w:rFonts w:cs="Times New Roman"/>
          <w:sz w:val="24"/>
          <w:szCs w:val="24"/>
        </w:rPr>
        <w:t>70</w:t>
      </w:r>
      <w:r w:rsidR="00527E01" w:rsidRPr="004451F9">
        <w:rPr>
          <w:rFonts w:cs="Times New Roman"/>
          <w:sz w:val="24"/>
          <w:szCs w:val="24"/>
        </w:rPr>
        <w:t xml:space="preserve"> as "among the natural rights of Turks."</w:t>
      </w:r>
      <w:r w:rsidR="00527E01" w:rsidRPr="004451F9">
        <w:rPr>
          <w:rStyle w:val="FootnoteReference"/>
          <w:rFonts w:cs="Times New Roman"/>
          <w:sz w:val="24"/>
          <w:szCs w:val="24"/>
        </w:rPr>
        <w:footnoteReference w:id="130"/>
      </w:r>
      <w:r w:rsidR="00527E01" w:rsidRPr="004451F9">
        <w:rPr>
          <w:rFonts w:cs="Times New Roman"/>
          <w:sz w:val="24"/>
          <w:szCs w:val="24"/>
        </w:rPr>
        <w:t xml:space="preserve"> This provision is interesting, considering that Mustafa Kemal's Republican People's Party </w:t>
      </w:r>
      <w:r w:rsidR="008024BE" w:rsidRPr="004451F9">
        <w:rPr>
          <w:rFonts w:cs="Times New Roman"/>
          <w:sz w:val="24"/>
          <w:szCs w:val="24"/>
        </w:rPr>
        <w:t xml:space="preserve">(RPP) </w:t>
      </w:r>
      <w:r w:rsidR="00527E01" w:rsidRPr="004451F9">
        <w:rPr>
          <w:rFonts w:cs="Times New Roman"/>
          <w:sz w:val="24"/>
          <w:szCs w:val="24"/>
        </w:rPr>
        <w:t>squelched opposition parties until the first competitive election in 1950.</w:t>
      </w:r>
      <w:r w:rsidR="00791D6E" w:rsidRPr="004451F9">
        <w:rPr>
          <w:rFonts w:cs="Times New Roman"/>
          <w:sz w:val="24"/>
          <w:szCs w:val="24"/>
        </w:rPr>
        <w:t xml:space="preserve"> Article 79, however, provides that freedom of assembly and association may be limited by law,</w:t>
      </w:r>
      <w:r w:rsidR="00791D6E" w:rsidRPr="004451F9">
        <w:rPr>
          <w:rStyle w:val="FootnoteReference"/>
          <w:rFonts w:cs="Times New Roman"/>
          <w:sz w:val="24"/>
          <w:szCs w:val="24"/>
        </w:rPr>
        <w:footnoteReference w:id="131"/>
      </w:r>
      <w:r w:rsidR="00791D6E" w:rsidRPr="004451F9">
        <w:rPr>
          <w:rFonts w:cs="Times New Roman"/>
          <w:sz w:val="24"/>
          <w:szCs w:val="24"/>
        </w:rPr>
        <w:t xml:space="preserve"> which seems contradictory to classifying them as "natural rights."</w:t>
      </w:r>
      <w:r w:rsidR="00834BB4" w:rsidRPr="004451F9">
        <w:rPr>
          <w:rFonts w:cs="Times New Roman"/>
          <w:sz w:val="24"/>
          <w:szCs w:val="24"/>
        </w:rPr>
        <w:t xml:space="preserve"> </w:t>
      </w:r>
      <w:r w:rsidR="00D36503" w:rsidRPr="004451F9">
        <w:rPr>
          <w:rFonts w:cs="Times New Roman"/>
          <w:sz w:val="24"/>
          <w:szCs w:val="24"/>
        </w:rPr>
        <w:t xml:space="preserve">Another unique provision is Article 88: "The name Turk, as a political term, shall be understood to </w:t>
      </w:r>
      <w:r w:rsidR="00D36503" w:rsidRPr="004451F9">
        <w:rPr>
          <w:rFonts w:cs="Times New Roman"/>
          <w:sz w:val="24"/>
          <w:szCs w:val="24"/>
        </w:rPr>
        <w:lastRenderedPageBreak/>
        <w:t>include all citizens of the Turkish Republic, without distinction of, or reference to, race or religion."</w:t>
      </w:r>
      <w:r w:rsidR="00D36503" w:rsidRPr="004451F9">
        <w:rPr>
          <w:rStyle w:val="FootnoteReference"/>
          <w:rFonts w:cs="Times New Roman"/>
          <w:sz w:val="24"/>
          <w:szCs w:val="24"/>
        </w:rPr>
        <w:footnoteReference w:id="132"/>
      </w:r>
      <w:r w:rsidR="00D36503" w:rsidRPr="004451F9">
        <w:rPr>
          <w:rFonts w:cs="Times New Roman"/>
          <w:sz w:val="24"/>
          <w:szCs w:val="24"/>
        </w:rPr>
        <w:t xml:space="preserve"> </w:t>
      </w:r>
      <w:r w:rsidR="00F224F9" w:rsidRPr="004451F9">
        <w:rPr>
          <w:rFonts w:cs="Times New Roman"/>
          <w:sz w:val="24"/>
          <w:szCs w:val="24"/>
        </w:rPr>
        <w:t>This could be due to the Treaty of Lausanne, signed by the Alli</w:t>
      </w:r>
      <w:r w:rsidR="00221B0E" w:rsidRPr="004451F9">
        <w:rPr>
          <w:rFonts w:cs="Times New Roman"/>
          <w:sz w:val="24"/>
          <w:szCs w:val="24"/>
        </w:rPr>
        <w:t>ed Powers and Turkey in 1923, through</w:t>
      </w:r>
      <w:r w:rsidR="00F224F9" w:rsidRPr="004451F9">
        <w:rPr>
          <w:rFonts w:cs="Times New Roman"/>
          <w:sz w:val="24"/>
          <w:szCs w:val="24"/>
        </w:rPr>
        <w:t xml:space="preserve"> which Turkey wanted to abolish certain pre</w:t>
      </w:r>
      <w:r w:rsidR="00221B0E" w:rsidRPr="004451F9">
        <w:rPr>
          <w:rFonts w:cs="Times New Roman"/>
          <w:sz w:val="24"/>
          <w:szCs w:val="24"/>
        </w:rPr>
        <w:t xml:space="preserve">ferences for foreigners and </w:t>
      </w:r>
      <w:r w:rsidR="00F224F9" w:rsidRPr="004451F9">
        <w:rPr>
          <w:rFonts w:cs="Times New Roman"/>
          <w:sz w:val="24"/>
          <w:szCs w:val="24"/>
        </w:rPr>
        <w:t>Westerners wanted Turkey to commit to protecting its minorities.</w:t>
      </w:r>
      <w:r w:rsidR="00F224F9" w:rsidRPr="004451F9">
        <w:rPr>
          <w:rStyle w:val="FootnoteReference"/>
          <w:rFonts w:cs="Times New Roman"/>
          <w:sz w:val="24"/>
          <w:szCs w:val="24"/>
        </w:rPr>
        <w:footnoteReference w:id="133"/>
      </w:r>
      <w:r w:rsidR="00221B0E" w:rsidRPr="004451F9">
        <w:rPr>
          <w:rFonts w:cs="Times New Roman"/>
          <w:sz w:val="24"/>
          <w:szCs w:val="24"/>
        </w:rPr>
        <w:t xml:space="preserve"> The Treaty states, "The Turkish Government undertakes to assure full and complete protection of life and liberty to all inhabitants of Turkey without distinction of birth, nationality, language, race or religion."</w:t>
      </w:r>
      <w:r w:rsidR="00221B0E" w:rsidRPr="004451F9">
        <w:rPr>
          <w:rStyle w:val="FootnoteReference"/>
          <w:rFonts w:cs="Times New Roman"/>
          <w:sz w:val="24"/>
          <w:szCs w:val="24"/>
        </w:rPr>
        <w:footnoteReference w:id="134"/>
      </w:r>
      <w:r w:rsidR="00221B0E" w:rsidRPr="004451F9">
        <w:rPr>
          <w:rFonts w:cs="Times New Roman"/>
          <w:sz w:val="24"/>
          <w:szCs w:val="24"/>
        </w:rPr>
        <w:t xml:space="preserve"> In laying out rights to be protected, however, the Treaty defines minorities as "non-Moslem,"</w:t>
      </w:r>
      <w:r w:rsidR="00221B0E" w:rsidRPr="004451F9">
        <w:rPr>
          <w:rStyle w:val="FootnoteReference"/>
          <w:rFonts w:cs="Times New Roman"/>
          <w:sz w:val="24"/>
          <w:szCs w:val="24"/>
        </w:rPr>
        <w:footnoteReference w:id="135"/>
      </w:r>
      <w:r w:rsidR="00DC311B" w:rsidRPr="004451F9">
        <w:rPr>
          <w:rFonts w:cs="Times New Roman"/>
          <w:sz w:val="24"/>
          <w:szCs w:val="24"/>
        </w:rPr>
        <w:t xml:space="preserve"> </w:t>
      </w:r>
      <w:r w:rsidR="00221B0E" w:rsidRPr="004451F9">
        <w:rPr>
          <w:rFonts w:cs="Times New Roman"/>
          <w:sz w:val="24"/>
          <w:szCs w:val="24"/>
        </w:rPr>
        <w:t xml:space="preserve">a fact that the government </w:t>
      </w:r>
      <w:r w:rsidR="00223C8E" w:rsidRPr="004451F9">
        <w:rPr>
          <w:rFonts w:cs="Times New Roman"/>
          <w:sz w:val="24"/>
          <w:szCs w:val="24"/>
        </w:rPr>
        <w:t>and the judiciary subsequently have used in disbanding Kurdish political parties seeking minority rights.</w:t>
      </w:r>
      <w:r w:rsidR="00223C8E" w:rsidRPr="004451F9">
        <w:rPr>
          <w:rStyle w:val="FootnoteReference"/>
          <w:rFonts w:cs="Times New Roman"/>
          <w:sz w:val="24"/>
          <w:szCs w:val="24"/>
        </w:rPr>
        <w:footnoteReference w:id="136"/>
      </w:r>
      <w:r w:rsidR="00E17D17" w:rsidRPr="004451F9">
        <w:rPr>
          <w:rFonts w:cs="Times New Roman"/>
          <w:sz w:val="24"/>
          <w:szCs w:val="24"/>
        </w:rPr>
        <w:t xml:space="preserve"> Although the 1924 Constitution proclaimed Islam as the state religion,</w:t>
      </w:r>
      <w:r w:rsidR="00E17D17" w:rsidRPr="004451F9">
        <w:rPr>
          <w:rStyle w:val="FootnoteReference"/>
          <w:rFonts w:cs="Times New Roman"/>
          <w:sz w:val="24"/>
          <w:szCs w:val="24"/>
        </w:rPr>
        <w:footnoteReference w:id="137"/>
      </w:r>
      <w:r w:rsidR="00E17D17" w:rsidRPr="004451F9">
        <w:rPr>
          <w:rFonts w:cs="Times New Roman"/>
          <w:sz w:val="24"/>
          <w:szCs w:val="24"/>
        </w:rPr>
        <w:t xml:space="preserve"> amendments in 1937 declared a secular state and enshrined the "six principles" of Mustafa Kemal's ruling RPP.</w:t>
      </w:r>
      <w:r w:rsidR="00E17D17" w:rsidRPr="004451F9">
        <w:rPr>
          <w:rStyle w:val="FootnoteReference"/>
          <w:rFonts w:cs="Times New Roman"/>
          <w:sz w:val="24"/>
          <w:szCs w:val="24"/>
        </w:rPr>
        <w:footnoteReference w:id="138"/>
      </w:r>
    </w:p>
    <w:p w:rsidR="00995B37" w:rsidRPr="004451F9" w:rsidRDefault="004610E7" w:rsidP="00EE7738">
      <w:pPr>
        <w:spacing w:after="0" w:line="480" w:lineRule="auto"/>
        <w:ind w:firstLine="720"/>
        <w:rPr>
          <w:rFonts w:cs="Times New Roman"/>
          <w:sz w:val="24"/>
          <w:szCs w:val="24"/>
        </w:rPr>
      </w:pPr>
      <w:r w:rsidRPr="004451F9">
        <w:rPr>
          <w:rFonts w:cs="Times New Roman"/>
          <w:sz w:val="24"/>
          <w:szCs w:val="24"/>
        </w:rPr>
        <w:t>T</w:t>
      </w:r>
      <w:r w:rsidR="004C0AB0" w:rsidRPr="004451F9">
        <w:rPr>
          <w:rFonts w:cs="Times New Roman"/>
          <w:sz w:val="24"/>
          <w:szCs w:val="24"/>
        </w:rPr>
        <w:t>he1924 Constitution</w:t>
      </w:r>
      <w:r w:rsidR="008024BE" w:rsidRPr="004451F9">
        <w:rPr>
          <w:rFonts w:cs="Times New Roman"/>
          <w:sz w:val="24"/>
          <w:szCs w:val="24"/>
        </w:rPr>
        <w:t xml:space="preserve">'s rights of assembly and association did eventually have political function in the peaceful transfer of power after the first truly competitive parliamentary elections in 1950, </w:t>
      </w:r>
      <w:r w:rsidRPr="004451F9">
        <w:rPr>
          <w:rFonts w:cs="Times New Roman"/>
          <w:sz w:val="24"/>
          <w:szCs w:val="24"/>
        </w:rPr>
        <w:t xml:space="preserve">but </w:t>
      </w:r>
      <w:r w:rsidR="008024BE" w:rsidRPr="004451F9">
        <w:rPr>
          <w:rFonts w:cs="Times New Roman"/>
          <w:sz w:val="24"/>
          <w:szCs w:val="24"/>
        </w:rPr>
        <w:t xml:space="preserve">it was a mere decade later that the Democratic Party's leash on power became too tight and led to the first military intervention. The new constitution that took force in 1961 brought many substantive changes from the prior versions. </w:t>
      </w:r>
      <w:r w:rsidR="00453822" w:rsidRPr="004451F9">
        <w:rPr>
          <w:rFonts w:cs="Times New Roman"/>
          <w:sz w:val="24"/>
          <w:szCs w:val="24"/>
        </w:rPr>
        <w:t xml:space="preserve">"[F]or the first time in Turkish history, a constituent assembly prepared a constitution and this constitution was accepted with a </w:t>
      </w:r>
      <w:r w:rsidR="00453822" w:rsidRPr="004451F9">
        <w:rPr>
          <w:rFonts w:cs="Times New Roman"/>
          <w:sz w:val="24"/>
          <w:szCs w:val="24"/>
        </w:rPr>
        <w:lastRenderedPageBreak/>
        <w:t>referendum" of 61.5 percent.</w:t>
      </w:r>
      <w:r w:rsidR="00453822" w:rsidRPr="004451F9">
        <w:rPr>
          <w:rStyle w:val="FootnoteReference"/>
          <w:rFonts w:cs="Times New Roman"/>
          <w:sz w:val="24"/>
          <w:szCs w:val="24"/>
        </w:rPr>
        <w:footnoteReference w:id="139"/>
      </w:r>
      <w:r w:rsidR="00453822" w:rsidRPr="004451F9">
        <w:rPr>
          <w:rFonts w:cs="Times New Roman"/>
          <w:sz w:val="24"/>
          <w:szCs w:val="24"/>
        </w:rPr>
        <w:t xml:space="preserve"> </w:t>
      </w:r>
      <w:r w:rsidR="00CC360B" w:rsidRPr="004451F9">
        <w:rPr>
          <w:rFonts w:cs="Times New Roman"/>
          <w:sz w:val="24"/>
          <w:szCs w:val="24"/>
        </w:rPr>
        <w:t>Initial drafts of the constitution were prepared by faculty at different Turkish law schools.</w:t>
      </w:r>
      <w:r w:rsidR="00CC360B" w:rsidRPr="004451F9">
        <w:rPr>
          <w:rStyle w:val="FootnoteReference"/>
          <w:rFonts w:cs="Times New Roman"/>
          <w:sz w:val="24"/>
          <w:szCs w:val="24"/>
        </w:rPr>
        <w:footnoteReference w:id="140"/>
      </w:r>
      <w:r w:rsidR="00CC360B" w:rsidRPr="004451F9">
        <w:rPr>
          <w:rFonts w:cs="Times New Roman"/>
          <w:sz w:val="24"/>
          <w:szCs w:val="24"/>
        </w:rPr>
        <w:t xml:space="preserve"> </w:t>
      </w:r>
      <w:r w:rsidR="00004756" w:rsidRPr="004451F9">
        <w:rPr>
          <w:rFonts w:cs="Times New Roman"/>
          <w:sz w:val="24"/>
          <w:szCs w:val="24"/>
        </w:rPr>
        <w:t>The 1961 Constitution created expanded descriptions of prior individual rights and some completely new ones, such as an entire section on economic and social rights, including several labor and union rights, the right to social security, and the right to medical care.</w:t>
      </w:r>
      <w:r w:rsidR="00004756" w:rsidRPr="004451F9">
        <w:rPr>
          <w:rStyle w:val="FootnoteReference"/>
          <w:rFonts w:cs="Times New Roman"/>
          <w:sz w:val="24"/>
          <w:szCs w:val="24"/>
        </w:rPr>
        <w:footnoteReference w:id="141"/>
      </w:r>
      <w:r w:rsidR="00004756" w:rsidRPr="004451F9">
        <w:rPr>
          <w:rFonts w:cs="Times New Roman"/>
          <w:sz w:val="24"/>
          <w:szCs w:val="24"/>
        </w:rPr>
        <w:t xml:space="preserve"> </w:t>
      </w:r>
      <w:r w:rsidR="003A5772" w:rsidRPr="004451F9">
        <w:rPr>
          <w:rFonts w:cs="Times New Roman"/>
          <w:sz w:val="24"/>
          <w:szCs w:val="24"/>
        </w:rPr>
        <w:t>One very progressive article even mandates conservation of forests.</w:t>
      </w:r>
      <w:r w:rsidR="003A5772" w:rsidRPr="004451F9">
        <w:rPr>
          <w:rStyle w:val="FootnoteReference"/>
          <w:rFonts w:cs="Times New Roman"/>
          <w:sz w:val="24"/>
          <w:szCs w:val="24"/>
        </w:rPr>
        <w:footnoteReference w:id="142"/>
      </w:r>
      <w:r w:rsidR="00004756" w:rsidRPr="004451F9">
        <w:rPr>
          <w:rFonts w:cs="Times New Roman"/>
          <w:sz w:val="24"/>
          <w:szCs w:val="24"/>
        </w:rPr>
        <w:t xml:space="preserve"> </w:t>
      </w:r>
      <w:r w:rsidR="003A5772" w:rsidRPr="004451F9">
        <w:rPr>
          <w:rFonts w:cs="Times New Roman"/>
          <w:sz w:val="24"/>
          <w:szCs w:val="24"/>
        </w:rPr>
        <w:t>Part two of the 1961 Constitution outlines fundamental rights and duties, and section one of that part lays out general provisions for fundamental rights.</w:t>
      </w:r>
      <w:r w:rsidR="003A5772" w:rsidRPr="004451F9">
        <w:rPr>
          <w:rStyle w:val="FootnoteReference"/>
          <w:rFonts w:cs="Times New Roman"/>
          <w:sz w:val="24"/>
          <w:szCs w:val="24"/>
        </w:rPr>
        <w:footnoteReference w:id="143"/>
      </w:r>
      <w:r w:rsidR="003A5772" w:rsidRPr="004451F9">
        <w:rPr>
          <w:rFonts w:cs="Times New Roman"/>
          <w:sz w:val="24"/>
          <w:szCs w:val="24"/>
        </w:rPr>
        <w:t xml:space="preserve"> Article </w:t>
      </w:r>
      <w:r w:rsidR="00995B37" w:rsidRPr="004451F9">
        <w:rPr>
          <w:rFonts w:cs="Times New Roman"/>
          <w:sz w:val="24"/>
          <w:szCs w:val="24"/>
        </w:rPr>
        <w:t>ten</w:t>
      </w:r>
      <w:r w:rsidR="003A5772" w:rsidRPr="004451F9">
        <w:rPr>
          <w:rFonts w:cs="Times New Roman"/>
          <w:sz w:val="24"/>
          <w:szCs w:val="24"/>
        </w:rPr>
        <w:t xml:space="preserve"> states,</w:t>
      </w:r>
    </w:p>
    <w:p w:rsidR="00995B37" w:rsidRPr="004451F9" w:rsidRDefault="003A5772" w:rsidP="00995B37">
      <w:pPr>
        <w:spacing w:after="0" w:line="240" w:lineRule="auto"/>
        <w:ind w:left="720" w:right="720"/>
        <w:rPr>
          <w:rFonts w:cs="Times New Roman"/>
          <w:sz w:val="24"/>
          <w:szCs w:val="24"/>
        </w:rPr>
      </w:pPr>
      <w:r w:rsidRPr="004451F9">
        <w:rPr>
          <w:rFonts w:cs="Times New Roman"/>
          <w:sz w:val="24"/>
          <w:szCs w:val="24"/>
        </w:rPr>
        <w:t>The State shall remove all political, economic and social obstacles that restrict the fundamental rights and freedoms of the individual in such a way as to be irreconcilable with the principles embodied in the rule of law, individual well-being and social justice. The State prepares the conditions required for the development of the individual's material and spiritual existence</w:t>
      </w:r>
      <w:r w:rsidR="00995B37" w:rsidRPr="004451F9">
        <w:rPr>
          <w:rFonts w:cs="Times New Roman"/>
          <w:sz w:val="24"/>
          <w:szCs w:val="24"/>
        </w:rPr>
        <w:t>.</w:t>
      </w:r>
      <w:r w:rsidR="00995B37" w:rsidRPr="004451F9">
        <w:rPr>
          <w:rStyle w:val="FootnoteReference"/>
          <w:rFonts w:cs="Times New Roman"/>
          <w:sz w:val="24"/>
          <w:szCs w:val="24"/>
        </w:rPr>
        <w:footnoteReference w:id="144"/>
      </w:r>
    </w:p>
    <w:p w:rsidR="00995B37" w:rsidRPr="004451F9" w:rsidRDefault="00995B37" w:rsidP="00995B37">
      <w:pPr>
        <w:spacing w:after="0" w:line="240" w:lineRule="auto"/>
        <w:ind w:left="720" w:right="720"/>
        <w:rPr>
          <w:rFonts w:cs="Times New Roman"/>
          <w:sz w:val="24"/>
          <w:szCs w:val="24"/>
        </w:rPr>
      </w:pPr>
      <w:r w:rsidRPr="004451F9">
        <w:rPr>
          <w:rFonts w:cs="Times New Roman"/>
          <w:sz w:val="24"/>
          <w:szCs w:val="24"/>
        </w:rPr>
        <w:t xml:space="preserve"> </w:t>
      </w:r>
    </w:p>
    <w:p w:rsidR="00D43962" w:rsidRPr="004451F9" w:rsidRDefault="00995B37" w:rsidP="00D43962">
      <w:pPr>
        <w:spacing w:after="0" w:line="480" w:lineRule="auto"/>
        <w:rPr>
          <w:rFonts w:cs="Times New Roman"/>
          <w:sz w:val="24"/>
          <w:szCs w:val="24"/>
        </w:rPr>
      </w:pPr>
      <w:r w:rsidRPr="004451F9">
        <w:rPr>
          <w:rFonts w:cs="Times New Roman"/>
          <w:sz w:val="24"/>
          <w:szCs w:val="24"/>
        </w:rPr>
        <w:t>Article eleven further states that "[t]he law shall not infringe upon the essence of any right or liberty not even when it is applied for the purpose of upholding public interest, morals and social order, social justice as well as national security."</w:t>
      </w:r>
      <w:r w:rsidRPr="004451F9">
        <w:rPr>
          <w:rStyle w:val="FootnoteReference"/>
          <w:rFonts w:cs="Times New Roman"/>
          <w:sz w:val="24"/>
          <w:szCs w:val="24"/>
        </w:rPr>
        <w:footnoteReference w:id="145"/>
      </w:r>
      <w:r w:rsidRPr="004451F9">
        <w:rPr>
          <w:rFonts w:cs="Times New Roman"/>
          <w:sz w:val="24"/>
          <w:szCs w:val="24"/>
        </w:rPr>
        <w:t xml:space="preserve"> These articles seem contradictory to the very military coup that led to their creation and the government's subsequent treatment of ethnic minority and religious groups marginalized from the political realm. However, in the same section on the general provisions of fundamental rights, article twelve couples the grant that "[a]ll individuals are equal before the law irrespective of language, race, sex, political opinion, philosophical views, or religion or religious sect" with the mandate that "[n]o privilege shall be </w:t>
      </w:r>
      <w:r w:rsidRPr="004451F9">
        <w:rPr>
          <w:rFonts w:cs="Times New Roman"/>
          <w:sz w:val="24"/>
          <w:szCs w:val="24"/>
        </w:rPr>
        <w:lastRenderedPageBreak/>
        <w:t>granted to any individual, family, group or class."</w:t>
      </w:r>
      <w:r w:rsidRPr="004451F9">
        <w:rPr>
          <w:rStyle w:val="FootnoteReference"/>
          <w:rFonts w:cs="Times New Roman"/>
          <w:sz w:val="24"/>
          <w:szCs w:val="24"/>
        </w:rPr>
        <w:footnoteReference w:id="146"/>
      </w:r>
      <w:r w:rsidRPr="004451F9">
        <w:rPr>
          <w:rFonts w:cs="Times New Roman"/>
          <w:sz w:val="24"/>
          <w:szCs w:val="24"/>
        </w:rPr>
        <w:t xml:space="preserve"> Although the state takes responsibility for ensuring the well-being and equality of its citizens, it also outlaws claims to entitlements based on special groupings, which by its nature includes those disadvantaged, marginalized, and disenfranchised.</w:t>
      </w:r>
      <w:r w:rsidR="00FE18AC" w:rsidRPr="004451F9">
        <w:rPr>
          <w:rFonts w:cs="Times New Roman"/>
          <w:sz w:val="24"/>
          <w:szCs w:val="24"/>
        </w:rPr>
        <w:t xml:space="preserve"> </w:t>
      </w:r>
      <w:r w:rsidR="00CC360B" w:rsidRPr="004451F9">
        <w:rPr>
          <w:rFonts w:cs="Times New Roman"/>
          <w:sz w:val="24"/>
          <w:szCs w:val="24"/>
        </w:rPr>
        <w:t>Even at the time the 1961 Constitition was written, some scholars found Turkey's commitment to providing social equality to be too ambitious, even for the most developed democracies.</w:t>
      </w:r>
      <w:r w:rsidR="00CC360B" w:rsidRPr="004451F9">
        <w:rPr>
          <w:rStyle w:val="FootnoteReference"/>
          <w:rFonts w:cs="Times New Roman"/>
          <w:sz w:val="24"/>
          <w:szCs w:val="24"/>
        </w:rPr>
        <w:footnoteReference w:id="147"/>
      </w:r>
      <w:r w:rsidR="00CC360B" w:rsidRPr="004451F9">
        <w:rPr>
          <w:rFonts w:cs="Times New Roman"/>
          <w:sz w:val="24"/>
          <w:szCs w:val="24"/>
        </w:rPr>
        <w:t xml:space="preserve"> </w:t>
      </w:r>
    </w:p>
    <w:p w:rsidR="00995B37" w:rsidRPr="004451F9" w:rsidRDefault="00FE18AC" w:rsidP="00D43962">
      <w:pPr>
        <w:spacing w:after="0" w:line="480" w:lineRule="auto"/>
        <w:ind w:firstLine="720"/>
        <w:rPr>
          <w:rFonts w:cs="Times New Roman"/>
          <w:sz w:val="24"/>
          <w:szCs w:val="24"/>
        </w:rPr>
      </w:pPr>
      <w:r w:rsidRPr="004451F9">
        <w:rPr>
          <w:rFonts w:cs="Times New Roman"/>
          <w:sz w:val="24"/>
          <w:szCs w:val="24"/>
        </w:rPr>
        <w:t>Furthermore, although article nineteen guarantees freedom of religious worship "not in opposition to public order," it also states,</w:t>
      </w:r>
    </w:p>
    <w:p w:rsidR="00FE18AC" w:rsidRPr="004451F9" w:rsidRDefault="00FE18AC" w:rsidP="00FE18AC">
      <w:pPr>
        <w:spacing w:after="0" w:line="240" w:lineRule="auto"/>
        <w:ind w:left="720" w:right="720"/>
        <w:rPr>
          <w:rFonts w:cs="Times New Roman"/>
          <w:sz w:val="24"/>
          <w:szCs w:val="24"/>
        </w:rPr>
      </w:pPr>
      <w:r w:rsidRPr="004451F9">
        <w:rPr>
          <w:rFonts w:cs="Times New Roman"/>
          <w:sz w:val="24"/>
          <w:szCs w:val="24"/>
        </w:rPr>
        <w:t>No one shall be allowed to exploit and abuse religion or religious feelings or things considered sacred by religion, in any manner whatsoever for the purpose of political or personal benefit, or for even partially basing the fundamental, social, economic, political and legal order of the State on religious dogmas. Those who violate this prohibition, or those who induce others to do so shall be punishable under the pertinent laws. In the case of associations and political parties the former shall be permanently closed down by an order of authorized courts and the latter by order of the Constitutional Court.</w:t>
      </w:r>
    </w:p>
    <w:p w:rsidR="00FE18AC" w:rsidRPr="004451F9" w:rsidRDefault="00FE18AC" w:rsidP="00FE18AC">
      <w:pPr>
        <w:spacing w:after="0" w:line="240" w:lineRule="auto"/>
        <w:ind w:left="720" w:right="720"/>
        <w:rPr>
          <w:rFonts w:cs="Times New Roman"/>
          <w:sz w:val="24"/>
          <w:szCs w:val="24"/>
        </w:rPr>
      </w:pPr>
    </w:p>
    <w:p w:rsidR="00FE18AC" w:rsidRPr="004451F9" w:rsidRDefault="002A03ED" w:rsidP="00D43962">
      <w:pPr>
        <w:spacing w:after="0" w:line="480" w:lineRule="auto"/>
        <w:rPr>
          <w:rFonts w:cs="Times New Roman"/>
          <w:sz w:val="24"/>
          <w:szCs w:val="24"/>
        </w:rPr>
      </w:pPr>
      <w:r w:rsidRPr="004451F9">
        <w:rPr>
          <w:rFonts w:cs="Times New Roman"/>
          <w:sz w:val="24"/>
          <w:szCs w:val="24"/>
        </w:rPr>
        <w:t xml:space="preserve">Thus, although the 1961 Constitution is the first to create specific provisions related to political parties, many of the provisions relate to </w:t>
      </w:r>
      <w:r w:rsidRPr="004451F9">
        <w:rPr>
          <w:rFonts w:cs="Times New Roman"/>
          <w:i/>
          <w:sz w:val="24"/>
          <w:szCs w:val="24"/>
        </w:rPr>
        <w:t xml:space="preserve">restrictions </w:t>
      </w:r>
      <w:r w:rsidRPr="004451F9">
        <w:rPr>
          <w:rFonts w:cs="Times New Roman"/>
          <w:sz w:val="24"/>
          <w:szCs w:val="24"/>
        </w:rPr>
        <w:t>on political parties</w:t>
      </w:r>
      <w:r w:rsidR="00E327CF" w:rsidRPr="004451F9">
        <w:rPr>
          <w:rFonts w:cs="Times New Roman"/>
          <w:sz w:val="24"/>
          <w:szCs w:val="24"/>
        </w:rPr>
        <w:t>, including the right to abolish them</w:t>
      </w:r>
      <w:r w:rsidRPr="004451F9">
        <w:rPr>
          <w:rFonts w:cs="Times New Roman"/>
          <w:sz w:val="24"/>
          <w:szCs w:val="24"/>
        </w:rPr>
        <w:t xml:space="preserve">. </w:t>
      </w:r>
      <w:r w:rsidR="00E327CF" w:rsidRPr="004451F9">
        <w:rPr>
          <w:rFonts w:cs="Times New Roman"/>
          <w:sz w:val="24"/>
          <w:szCs w:val="24"/>
        </w:rPr>
        <w:t>The Constitution creates a Constitutional Court and a right for political parties to bring suits challenging laws as unconstitutional,</w:t>
      </w:r>
      <w:r w:rsidR="000E6655" w:rsidRPr="004451F9">
        <w:rPr>
          <w:rStyle w:val="FootnoteReference"/>
          <w:rFonts w:cs="Times New Roman"/>
          <w:sz w:val="24"/>
          <w:szCs w:val="24"/>
        </w:rPr>
        <w:footnoteReference w:id="148"/>
      </w:r>
      <w:r w:rsidR="00E327CF" w:rsidRPr="004451F9">
        <w:rPr>
          <w:rFonts w:cs="Times New Roman"/>
          <w:sz w:val="24"/>
          <w:szCs w:val="24"/>
        </w:rPr>
        <w:t xml:space="preserve"> but it also grants the Constitutional Court the right to </w:t>
      </w:r>
      <w:r w:rsidR="000E6655" w:rsidRPr="004451F9">
        <w:rPr>
          <w:rFonts w:cs="Times New Roman"/>
          <w:sz w:val="24"/>
          <w:szCs w:val="24"/>
        </w:rPr>
        <w:t xml:space="preserve">permanently dissolve </w:t>
      </w:r>
      <w:r w:rsidR="00E327CF" w:rsidRPr="004451F9">
        <w:rPr>
          <w:rFonts w:cs="Times New Roman"/>
          <w:sz w:val="24"/>
          <w:szCs w:val="24"/>
        </w:rPr>
        <w:t>parties</w:t>
      </w:r>
      <w:r w:rsidR="000E6655" w:rsidRPr="004451F9">
        <w:rPr>
          <w:rFonts w:cs="Times New Roman"/>
          <w:sz w:val="24"/>
          <w:szCs w:val="24"/>
        </w:rPr>
        <w:t xml:space="preserve"> that fail to "conform to the principles of a democratic and secular republic, based on human rights and liberties, and to the fundamental principle of the </w:t>
      </w:r>
      <w:r w:rsidR="000E6655" w:rsidRPr="004451F9">
        <w:rPr>
          <w:rFonts w:cs="Times New Roman"/>
          <w:sz w:val="24"/>
          <w:szCs w:val="24"/>
        </w:rPr>
        <w:lastRenderedPageBreak/>
        <w:t>State's territorial and national integrity."</w:t>
      </w:r>
      <w:r w:rsidR="000E6655" w:rsidRPr="004451F9">
        <w:rPr>
          <w:rStyle w:val="FootnoteReference"/>
          <w:rFonts w:cs="Times New Roman"/>
          <w:sz w:val="24"/>
          <w:szCs w:val="24"/>
        </w:rPr>
        <w:footnoteReference w:id="149"/>
      </w:r>
      <w:r w:rsidR="000E6655" w:rsidRPr="004451F9">
        <w:rPr>
          <w:rFonts w:cs="Times New Roman"/>
          <w:sz w:val="24"/>
          <w:szCs w:val="24"/>
        </w:rPr>
        <w:t xml:space="preserve"> </w:t>
      </w:r>
      <w:r w:rsidR="00FE18AC" w:rsidRPr="004451F9">
        <w:rPr>
          <w:rFonts w:cs="Times New Roman"/>
          <w:sz w:val="24"/>
          <w:szCs w:val="24"/>
        </w:rPr>
        <w:t>These provisions in the 1961 Constitution relating to political parties remain largely unchanged in the current version of the Turkish constitution.</w:t>
      </w:r>
      <w:r w:rsidR="00FE18AC" w:rsidRPr="004451F9">
        <w:rPr>
          <w:rStyle w:val="FootnoteReference"/>
          <w:rFonts w:cs="Times New Roman"/>
          <w:sz w:val="24"/>
          <w:szCs w:val="24"/>
        </w:rPr>
        <w:footnoteReference w:id="150"/>
      </w:r>
    </w:p>
    <w:p w:rsidR="006B6A8A" w:rsidRPr="004451F9" w:rsidRDefault="000A2E16" w:rsidP="00995B37">
      <w:pPr>
        <w:spacing w:after="0" w:line="480" w:lineRule="auto"/>
        <w:rPr>
          <w:rFonts w:cs="Times New Roman"/>
          <w:sz w:val="24"/>
          <w:szCs w:val="24"/>
        </w:rPr>
      </w:pPr>
      <w:r w:rsidRPr="004451F9">
        <w:rPr>
          <w:rFonts w:cs="Times New Roman"/>
          <w:sz w:val="24"/>
          <w:szCs w:val="24"/>
        </w:rPr>
        <w:t>Civilian political prerogatives were further constrained by the creation of the National Security Council, which had the right to "communicate the requisite fundamental recommendations to the Council of Ministers with the purpose of assisting in the making of decisions related to national security and coordination."</w:t>
      </w:r>
      <w:r w:rsidRPr="004451F9">
        <w:rPr>
          <w:rStyle w:val="FootnoteReference"/>
          <w:rFonts w:cs="Times New Roman"/>
          <w:sz w:val="24"/>
          <w:szCs w:val="24"/>
        </w:rPr>
        <w:footnoteReference w:id="151"/>
      </w:r>
      <w:r w:rsidR="006D1A93" w:rsidRPr="004451F9">
        <w:rPr>
          <w:rFonts w:cs="Times New Roman"/>
          <w:sz w:val="24"/>
          <w:szCs w:val="24"/>
        </w:rPr>
        <w:t xml:space="preserve"> Ultimately, the 1961 Constitution created many lasting changes to the prior versions of Turkey's constitution</w:t>
      </w:r>
      <w:r w:rsidR="00597FAB" w:rsidRPr="004451F9">
        <w:rPr>
          <w:rFonts w:cs="Times New Roman"/>
          <w:sz w:val="24"/>
          <w:szCs w:val="24"/>
        </w:rPr>
        <w:t xml:space="preserve"> and to the political landscape</w:t>
      </w:r>
      <w:r w:rsidR="006D1A93" w:rsidRPr="004451F9">
        <w:rPr>
          <w:rFonts w:cs="Times New Roman"/>
          <w:sz w:val="24"/>
          <w:szCs w:val="24"/>
        </w:rPr>
        <w:t>.</w:t>
      </w:r>
    </w:p>
    <w:p w:rsidR="00D86641" w:rsidRPr="004451F9" w:rsidRDefault="00597FAB" w:rsidP="00EE7738">
      <w:pPr>
        <w:spacing w:after="0" w:line="480" w:lineRule="auto"/>
        <w:ind w:firstLine="720"/>
        <w:rPr>
          <w:rFonts w:cs="Times New Roman"/>
          <w:sz w:val="24"/>
          <w:szCs w:val="24"/>
        </w:rPr>
      </w:pPr>
      <w:r w:rsidRPr="004451F9">
        <w:rPr>
          <w:rFonts w:cs="Times New Roman"/>
          <w:sz w:val="24"/>
          <w:szCs w:val="24"/>
        </w:rPr>
        <w:t>Although the Justice Party was able to attract enough constituents to become the ruling party after the first military intervention, the military's bust-up of political parties during each of the three interventions – and arguably some of the marked changes in the 1961 Constitution – contributed to a spike in the fragmentation and polarization of political parties.</w:t>
      </w:r>
      <w:r w:rsidRPr="004451F9">
        <w:rPr>
          <w:rStyle w:val="FootnoteReference"/>
          <w:rFonts w:cs="Times New Roman"/>
          <w:sz w:val="24"/>
          <w:szCs w:val="24"/>
        </w:rPr>
        <w:footnoteReference w:id="152"/>
      </w:r>
      <w:r w:rsidRPr="004451F9">
        <w:rPr>
          <w:rFonts w:cs="Times New Roman"/>
          <w:sz w:val="24"/>
          <w:szCs w:val="24"/>
        </w:rPr>
        <w:t xml:space="preserve"> </w:t>
      </w:r>
      <w:r w:rsidR="00D9292B" w:rsidRPr="004451F9">
        <w:rPr>
          <w:rFonts w:cs="Times New Roman"/>
          <w:sz w:val="24"/>
          <w:szCs w:val="24"/>
        </w:rPr>
        <w:t>I</w:t>
      </w:r>
      <w:r w:rsidRPr="004451F9">
        <w:rPr>
          <w:rFonts w:cs="Times New Roman"/>
          <w:sz w:val="24"/>
          <w:szCs w:val="24"/>
        </w:rPr>
        <w:t>ncrease</w:t>
      </w:r>
      <w:r w:rsidR="00D9292B" w:rsidRPr="004451F9">
        <w:rPr>
          <w:rFonts w:cs="Times New Roman"/>
          <w:sz w:val="24"/>
          <w:szCs w:val="24"/>
        </w:rPr>
        <w:t>s</w:t>
      </w:r>
      <w:r w:rsidRPr="004451F9">
        <w:rPr>
          <w:rFonts w:cs="Times New Roman"/>
          <w:sz w:val="24"/>
          <w:szCs w:val="24"/>
        </w:rPr>
        <w:t xml:space="preserve"> in extremist parties</w:t>
      </w:r>
      <w:r w:rsidR="00D9292B" w:rsidRPr="004451F9">
        <w:rPr>
          <w:rFonts w:cs="Times New Roman"/>
          <w:sz w:val="24"/>
          <w:szCs w:val="24"/>
        </w:rPr>
        <w:t>, especially Kurdish sympathizers and Islamists,</w:t>
      </w:r>
      <w:r w:rsidRPr="004451F9">
        <w:rPr>
          <w:rFonts w:cs="Times New Roman"/>
          <w:sz w:val="24"/>
          <w:szCs w:val="24"/>
        </w:rPr>
        <w:t xml:space="preserve"> and political violenc</w:t>
      </w:r>
      <w:r w:rsidR="00D9292B" w:rsidRPr="004451F9">
        <w:rPr>
          <w:rFonts w:cs="Times New Roman"/>
          <w:sz w:val="24"/>
          <w:szCs w:val="24"/>
        </w:rPr>
        <w:t>e led to the military's interventions again in 1971 and 1980, culminating in another new constitution in 1982.</w:t>
      </w:r>
      <w:r w:rsidR="00EE04D8" w:rsidRPr="004451F9">
        <w:rPr>
          <w:rFonts w:cs="Times New Roman"/>
          <w:sz w:val="24"/>
          <w:szCs w:val="24"/>
        </w:rPr>
        <w:t xml:space="preserve"> Like the 1961 Constitution, the 1982 Constitution was drafted by a Consultative Assembly – although a quarter of the delegates were appointed by the NSC – and submitted to a referendum which garnered </w:t>
      </w:r>
      <w:r w:rsidR="00CD11EC" w:rsidRPr="004451F9">
        <w:rPr>
          <w:rFonts w:cs="Times New Roman"/>
          <w:sz w:val="24"/>
          <w:szCs w:val="24"/>
        </w:rPr>
        <w:t>91.4</w:t>
      </w:r>
      <w:r w:rsidR="00EE04D8" w:rsidRPr="004451F9">
        <w:rPr>
          <w:rFonts w:cs="Times New Roman"/>
          <w:sz w:val="24"/>
          <w:szCs w:val="24"/>
        </w:rPr>
        <w:t xml:space="preserve"> percent voter approval</w:t>
      </w:r>
      <w:r w:rsidR="00CD11EC" w:rsidRPr="004451F9">
        <w:rPr>
          <w:rFonts w:cs="Times New Roman"/>
          <w:sz w:val="24"/>
          <w:szCs w:val="24"/>
        </w:rPr>
        <w:t xml:space="preserve"> with 91.3 percent voter participation, although that number is artificially inflated due to a provisional article in the Constitution suspending individual voting rights for failure to vote in the referendum.</w:t>
      </w:r>
      <w:r w:rsidR="00CD11EC" w:rsidRPr="004451F9">
        <w:rPr>
          <w:rStyle w:val="FootnoteReference"/>
          <w:rFonts w:cs="Times New Roman"/>
          <w:sz w:val="24"/>
          <w:szCs w:val="24"/>
        </w:rPr>
        <w:footnoteReference w:id="153"/>
      </w:r>
      <w:r w:rsidR="0066300C" w:rsidRPr="004451F9">
        <w:rPr>
          <w:rFonts w:cs="Times New Roman"/>
          <w:sz w:val="24"/>
          <w:szCs w:val="24"/>
        </w:rPr>
        <w:t xml:space="preserve"> Much of the 1982 Constitution is </w:t>
      </w:r>
      <w:r w:rsidR="0066300C" w:rsidRPr="004451F9">
        <w:rPr>
          <w:rFonts w:cs="Times New Roman"/>
          <w:sz w:val="24"/>
          <w:szCs w:val="24"/>
        </w:rPr>
        <w:lastRenderedPageBreak/>
        <w:t>borrowed directly from the 1962 Constitution, and in fact all of the provisions previously discussed are included in the 1982 Constitution in some form. Some new rights were created, such as "the right to live in a healthy, balanced environment," and the right to housing.</w:t>
      </w:r>
      <w:r w:rsidR="0066300C" w:rsidRPr="004451F9">
        <w:rPr>
          <w:rStyle w:val="FootnoteReference"/>
          <w:rFonts w:cs="Times New Roman"/>
          <w:sz w:val="24"/>
          <w:szCs w:val="24"/>
        </w:rPr>
        <w:footnoteReference w:id="154"/>
      </w:r>
      <w:r w:rsidR="0066300C" w:rsidRPr="004451F9">
        <w:rPr>
          <w:rFonts w:cs="Times New Roman"/>
          <w:sz w:val="24"/>
          <w:szCs w:val="24"/>
        </w:rPr>
        <w:t xml:space="preserve"> The state also pledged to "take necessary measures to protect the youth from addiction to alcohol, drug addiction, crime, gambling, a</w:t>
      </w:r>
      <w:r w:rsidR="00D86641" w:rsidRPr="004451F9">
        <w:rPr>
          <w:rFonts w:cs="Times New Roman"/>
          <w:sz w:val="24"/>
          <w:szCs w:val="24"/>
        </w:rPr>
        <w:t>nd similar vices, and ignorance" and also to "take measures to develop the physical and mental health of Turkish citizens of all ages, and encourage the spread of sports among the masses."</w:t>
      </w:r>
      <w:r w:rsidR="00D86641" w:rsidRPr="004451F9">
        <w:rPr>
          <w:rStyle w:val="FootnoteReference"/>
          <w:rFonts w:cs="Times New Roman"/>
          <w:sz w:val="24"/>
          <w:szCs w:val="24"/>
        </w:rPr>
        <w:footnoteReference w:id="155"/>
      </w:r>
      <w:r w:rsidR="00D86641" w:rsidRPr="004451F9">
        <w:rPr>
          <w:rFonts w:cs="Times New Roman"/>
          <w:sz w:val="24"/>
          <w:szCs w:val="24"/>
        </w:rPr>
        <w:t xml:space="preserve"> </w:t>
      </w:r>
    </w:p>
    <w:p w:rsidR="00D86641" w:rsidRPr="004451F9" w:rsidRDefault="00D86641" w:rsidP="0036778D">
      <w:pPr>
        <w:spacing w:after="0" w:line="480" w:lineRule="auto"/>
        <w:ind w:firstLine="720"/>
        <w:rPr>
          <w:rFonts w:cs="Times New Roman"/>
          <w:sz w:val="24"/>
          <w:szCs w:val="24"/>
        </w:rPr>
      </w:pPr>
      <w:r w:rsidRPr="004451F9">
        <w:rPr>
          <w:rFonts w:cs="Times New Roman"/>
          <w:sz w:val="24"/>
          <w:szCs w:val="24"/>
        </w:rPr>
        <w:t>Ultimately, the biggest difference in the 1982 Constitution is a further contracting of political party rights and an expansion of the military and NSC power.</w:t>
      </w:r>
      <w:r w:rsidRPr="004451F9">
        <w:rPr>
          <w:rStyle w:val="FootnoteReference"/>
          <w:rFonts w:cs="Times New Roman"/>
          <w:sz w:val="24"/>
          <w:szCs w:val="24"/>
        </w:rPr>
        <w:footnoteReference w:id="156"/>
      </w:r>
      <w:r w:rsidRPr="004451F9">
        <w:rPr>
          <w:rFonts w:cs="Times New Roman"/>
          <w:sz w:val="24"/>
          <w:szCs w:val="24"/>
        </w:rPr>
        <w:t xml:space="preserve"> "For example, political parties are required to obtain a minimum percentage of the total vote cast before any candidates on their lists can qualify for seats in the National Assembly."</w:t>
      </w:r>
      <w:r w:rsidRPr="004451F9">
        <w:rPr>
          <w:rStyle w:val="FootnoteReference"/>
          <w:rFonts w:cs="Times New Roman"/>
          <w:sz w:val="24"/>
          <w:szCs w:val="24"/>
        </w:rPr>
        <w:footnoteReference w:id="157"/>
      </w:r>
      <w:r w:rsidR="001F12C6" w:rsidRPr="004451F9">
        <w:rPr>
          <w:rFonts w:cs="Times New Roman"/>
          <w:sz w:val="24"/>
          <w:szCs w:val="24"/>
        </w:rPr>
        <w:t xml:space="preserve"> Political groups are recognized only if their number of representatives totals twenty or more out of the 550 assembly members.</w:t>
      </w:r>
      <w:r w:rsidR="001F12C6" w:rsidRPr="004451F9">
        <w:rPr>
          <w:rStyle w:val="FootnoteReference"/>
          <w:rFonts w:cs="Times New Roman"/>
          <w:sz w:val="24"/>
          <w:szCs w:val="24"/>
        </w:rPr>
        <w:footnoteReference w:id="158"/>
      </w:r>
      <w:r w:rsidR="001F12C6" w:rsidRPr="004451F9">
        <w:rPr>
          <w:rFonts w:cs="Times New Roman"/>
          <w:sz w:val="24"/>
          <w:szCs w:val="24"/>
        </w:rPr>
        <w:t xml:space="preserve"> </w:t>
      </w:r>
      <w:r w:rsidR="0036778D" w:rsidRPr="004451F9">
        <w:rPr>
          <w:rFonts w:cs="Times New Roman"/>
          <w:sz w:val="24"/>
          <w:szCs w:val="24"/>
        </w:rPr>
        <w:t>The Constitution also specifically mandates that members of parliament represent the entire nation and not merely their constituents.</w:t>
      </w:r>
      <w:r w:rsidR="0036778D" w:rsidRPr="004451F9">
        <w:rPr>
          <w:rStyle w:val="FootnoteReference"/>
          <w:rFonts w:cs="Times New Roman"/>
          <w:sz w:val="24"/>
          <w:szCs w:val="24"/>
        </w:rPr>
        <w:footnoteReference w:id="159"/>
      </w:r>
      <w:r w:rsidR="0036778D" w:rsidRPr="004451F9">
        <w:rPr>
          <w:rFonts w:cs="Times New Roman"/>
          <w:sz w:val="24"/>
          <w:szCs w:val="24"/>
        </w:rPr>
        <w:t xml:space="preserve"> A version of this provision first appeared in the 1876 Ottoman Constitution, although it was absent from the first constitutions of the Republic.</w:t>
      </w:r>
      <w:r w:rsidR="0036778D" w:rsidRPr="004451F9">
        <w:rPr>
          <w:rStyle w:val="FootnoteReference"/>
          <w:rFonts w:cs="Times New Roman"/>
          <w:sz w:val="24"/>
          <w:szCs w:val="24"/>
        </w:rPr>
        <w:footnoteReference w:id="160"/>
      </w:r>
      <w:r w:rsidR="0036778D" w:rsidRPr="004451F9">
        <w:rPr>
          <w:rFonts w:cs="Times New Roman"/>
          <w:sz w:val="24"/>
          <w:szCs w:val="24"/>
        </w:rPr>
        <w:t xml:space="preserve"> A president-elect must even go so far as to resign from his party upon election by </w:t>
      </w:r>
      <w:r w:rsidR="0036778D" w:rsidRPr="004451F9">
        <w:rPr>
          <w:rFonts w:cs="Times New Roman"/>
          <w:sz w:val="24"/>
          <w:szCs w:val="24"/>
        </w:rPr>
        <w:lastRenderedPageBreak/>
        <w:t>the Turkish Grand National Assembly.</w:t>
      </w:r>
      <w:r w:rsidR="0036778D" w:rsidRPr="004451F9">
        <w:rPr>
          <w:rStyle w:val="FootnoteReference"/>
          <w:rFonts w:cs="Times New Roman"/>
          <w:sz w:val="24"/>
          <w:szCs w:val="24"/>
        </w:rPr>
        <w:footnoteReference w:id="161"/>
      </w:r>
      <w:r w:rsidR="0036778D" w:rsidRPr="004451F9">
        <w:rPr>
          <w:rFonts w:cs="Times New Roman"/>
          <w:sz w:val="24"/>
          <w:szCs w:val="24"/>
        </w:rPr>
        <w:t xml:space="preserve"> </w:t>
      </w:r>
      <w:r w:rsidR="001F12C6" w:rsidRPr="004451F9">
        <w:rPr>
          <w:rFonts w:cs="Times New Roman"/>
          <w:sz w:val="24"/>
          <w:szCs w:val="24"/>
        </w:rPr>
        <w:t>Article 68 also lists a variety of people who are prohibited from joining political parties, including "[j]udges and prosecutors, … civil servants …, other public servants …, members of the armed forces and students."</w:t>
      </w:r>
      <w:r w:rsidR="001F12C6" w:rsidRPr="004451F9">
        <w:rPr>
          <w:rStyle w:val="FootnoteReference"/>
          <w:rFonts w:cs="Times New Roman"/>
          <w:sz w:val="24"/>
          <w:szCs w:val="24"/>
        </w:rPr>
        <w:footnoteReference w:id="162"/>
      </w:r>
      <w:r w:rsidR="001F12C6" w:rsidRPr="004451F9">
        <w:rPr>
          <w:rFonts w:cs="Times New Roman"/>
          <w:sz w:val="24"/>
          <w:szCs w:val="24"/>
        </w:rPr>
        <w:t xml:space="preserve"> And military privates, corporals, and cadets cannot vote at all,</w:t>
      </w:r>
      <w:r w:rsidR="001F12C6" w:rsidRPr="004451F9">
        <w:rPr>
          <w:rStyle w:val="FootnoteReference"/>
          <w:rFonts w:cs="Times New Roman"/>
          <w:sz w:val="24"/>
          <w:szCs w:val="24"/>
        </w:rPr>
        <w:footnoteReference w:id="163"/>
      </w:r>
      <w:r w:rsidR="001F12C6" w:rsidRPr="004451F9">
        <w:rPr>
          <w:rFonts w:cs="Times New Roman"/>
          <w:sz w:val="24"/>
          <w:szCs w:val="24"/>
        </w:rPr>
        <w:t xml:space="preserve"> which is particularly surprising given the military's influence on Turkish political development and especially the military interventions.</w:t>
      </w:r>
    </w:p>
    <w:p w:rsidR="00D049C7" w:rsidRPr="004451F9" w:rsidRDefault="001F12C6" w:rsidP="001F12C6">
      <w:pPr>
        <w:spacing w:after="0" w:line="480" w:lineRule="auto"/>
        <w:ind w:firstLine="720"/>
        <w:rPr>
          <w:rFonts w:cs="Times New Roman"/>
          <w:sz w:val="24"/>
          <w:szCs w:val="24"/>
        </w:rPr>
      </w:pPr>
      <w:r w:rsidRPr="004451F9">
        <w:rPr>
          <w:rFonts w:cs="Times New Roman"/>
          <w:sz w:val="24"/>
          <w:szCs w:val="24"/>
        </w:rPr>
        <w:t xml:space="preserve">The military </w:t>
      </w:r>
      <w:r w:rsidR="0036778D" w:rsidRPr="004451F9">
        <w:rPr>
          <w:rFonts w:cs="Times New Roman"/>
          <w:sz w:val="24"/>
          <w:szCs w:val="24"/>
        </w:rPr>
        <w:t xml:space="preserve">and NSC </w:t>
      </w:r>
      <w:r w:rsidRPr="004451F9">
        <w:rPr>
          <w:rFonts w:cs="Times New Roman"/>
          <w:sz w:val="24"/>
          <w:szCs w:val="24"/>
        </w:rPr>
        <w:t>did seek, however, significant prot</w:t>
      </w:r>
      <w:r w:rsidR="0036778D" w:rsidRPr="004451F9">
        <w:rPr>
          <w:rFonts w:cs="Times New Roman"/>
          <w:sz w:val="24"/>
          <w:szCs w:val="24"/>
        </w:rPr>
        <w:t>ections</w:t>
      </w:r>
      <w:r w:rsidRPr="004451F9">
        <w:rPr>
          <w:rFonts w:cs="Times New Roman"/>
          <w:sz w:val="24"/>
          <w:szCs w:val="24"/>
        </w:rPr>
        <w:t xml:space="preserve"> via provisional </w:t>
      </w:r>
      <w:r w:rsidR="0036778D" w:rsidRPr="004451F9">
        <w:rPr>
          <w:rFonts w:cs="Times New Roman"/>
          <w:sz w:val="24"/>
          <w:szCs w:val="24"/>
        </w:rPr>
        <w:t xml:space="preserve">and regular </w:t>
      </w:r>
      <w:r w:rsidRPr="004451F9">
        <w:rPr>
          <w:rFonts w:cs="Times New Roman"/>
          <w:sz w:val="24"/>
          <w:szCs w:val="24"/>
        </w:rPr>
        <w:t>articles in the 1982 Constitution.</w:t>
      </w:r>
      <w:r w:rsidRPr="004451F9">
        <w:rPr>
          <w:rStyle w:val="FootnoteReference"/>
          <w:rFonts w:cs="Times New Roman"/>
          <w:sz w:val="24"/>
          <w:szCs w:val="24"/>
        </w:rPr>
        <w:footnoteReference w:id="164"/>
      </w:r>
      <w:r w:rsidRPr="004451F9">
        <w:rPr>
          <w:rFonts w:cs="Times New Roman"/>
          <w:sz w:val="24"/>
          <w:szCs w:val="24"/>
        </w:rPr>
        <w:t xml:space="preserve"> </w:t>
      </w:r>
      <w:r w:rsidR="0036778D" w:rsidRPr="004451F9">
        <w:rPr>
          <w:rFonts w:cs="Times New Roman"/>
          <w:sz w:val="24"/>
          <w:szCs w:val="24"/>
        </w:rPr>
        <w:t xml:space="preserve">The Constitution </w:t>
      </w:r>
      <w:r w:rsidR="0003103F" w:rsidRPr="004451F9">
        <w:rPr>
          <w:rFonts w:cs="Times New Roman"/>
          <w:sz w:val="24"/>
          <w:szCs w:val="24"/>
        </w:rPr>
        <w:t>allows the Council of Ministers, headed by the President, to declare a state of emergency for "serious indications of widespread acts of violence aimed at the destruction of the free democratic order established by the Constitution or of fundamental rights and freedoms, or serious deterioration of public order because of acts of violence."</w:t>
      </w:r>
      <w:r w:rsidR="0003103F" w:rsidRPr="004451F9">
        <w:rPr>
          <w:rStyle w:val="FootnoteReference"/>
          <w:rFonts w:cs="Times New Roman"/>
          <w:sz w:val="24"/>
          <w:szCs w:val="24"/>
        </w:rPr>
        <w:footnoteReference w:id="165"/>
      </w:r>
      <w:r w:rsidRPr="004451F9">
        <w:rPr>
          <w:rFonts w:cs="Times New Roman"/>
          <w:sz w:val="24"/>
          <w:szCs w:val="24"/>
        </w:rPr>
        <w:t xml:space="preserve"> </w:t>
      </w:r>
      <w:r w:rsidR="0036778D" w:rsidRPr="004451F9">
        <w:rPr>
          <w:rFonts w:cs="Times New Roman"/>
          <w:sz w:val="24"/>
          <w:szCs w:val="24"/>
        </w:rPr>
        <w:t xml:space="preserve">And the Constitutional Court may </w:t>
      </w:r>
      <w:r w:rsidR="0036778D" w:rsidRPr="004451F9">
        <w:rPr>
          <w:rFonts w:cs="Times New Roman"/>
          <w:i/>
          <w:sz w:val="24"/>
          <w:szCs w:val="24"/>
        </w:rPr>
        <w:t>not</w:t>
      </w:r>
      <w:r w:rsidR="0036778D" w:rsidRPr="004451F9">
        <w:rPr>
          <w:rFonts w:cs="Times New Roman"/>
          <w:sz w:val="24"/>
          <w:szCs w:val="24"/>
        </w:rPr>
        <w:t xml:space="preserve"> review the constitutionality of any decisions under martial law.</w:t>
      </w:r>
      <w:r w:rsidR="0036778D" w:rsidRPr="004451F9">
        <w:rPr>
          <w:rStyle w:val="FootnoteReference"/>
          <w:rFonts w:cs="Times New Roman"/>
          <w:sz w:val="24"/>
          <w:szCs w:val="24"/>
        </w:rPr>
        <w:footnoteReference w:id="166"/>
      </w:r>
      <w:r w:rsidR="0036778D" w:rsidRPr="004451F9">
        <w:rPr>
          <w:rFonts w:cs="Times New Roman"/>
          <w:sz w:val="24"/>
          <w:szCs w:val="24"/>
        </w:rPr>
        <w:t xml:space="preserve"> </w:t>
      </w:r>
      <w:r w:rsidR="00D049C7" w:rsidRPr="004451F9">
        <w:rPr>
          <w:rFonts w:cs="Times New Roman"/>
          <w:sz w:val="24"/>
          <w:szCs w:val="24"/>
        </w:rPr>
        <w:t xml:space="preserve">Furthermore, the provisional articles </w:t>
      </w:r>
    </w:p>
    <w:p w:rsidR="00D049C7" w:rsidRPr="004451F9" w:rsidRDefault="00D049C7" w:rsidP="00D049C7">
      <w:pPr>
        <w:spacing w:after="0" w:line="240" w:lineRule="auto"/>
        <w:ind w:left="720" w:right="720"/>
        <w:rPr>
          <w:rFonts w:cs="Times New Roman"/>
          <w:sz w:val="24"/>
          <w:szCs w:val="24"/>
        </w:rPr>
      </w:pPr>
      <w:r w:rsidRPr="004451F9">
        <w:rPr>
          <w:rFonts w:cs="Times New Roman"/>
          <w:sz w:val="24"/>
          <w:szCs w:val="24"/>
        </w:rPr>
        <w:t>stipulated that the chair of the NSC and head of state would become president of the republic for seven years following approval of the constitution in a referendum. Another provisional article stipulated that the NSC would be transformed into an advisory Presidential Council … [that] would function for a period of six years and then be dissolved. Yet another provisional article made permanent a 1981 NSC decree that barred more than 200 politicians from joining new political parties or becoming candidates for a period of ten years.</w:t>
      </w:r>
      <w:r w:rsidR="007B2F66" w:rsidRPr="004451F9">
        <w:rPr>
          <w:rStyle w:val="FootnoteReference"/>
          <w:rFonts w:cs="Times New Roman"/>
          <w:sz w:val="24"/>
          <w:szCs w:val="24"/>
        </w:rPr>
        <w:footnoteReference w:id="167"/>
      </w:r>
    </w:p>
    <w:p w:rsidR="00D049C7" w:rsidRPr="004451F9" w:rsidRDefault="00D049C7" w:rsidP="00D049C7">
      <w:pPr>
        <w:spacing w:after="0" w:line="240" w:lineRule="auto"/>
        <w:ind w:left="720" w:right="720"/>
        <w:rPr>
          <w:rFonts w:cs="Times New Roman"/>
          <w:sz w:val="24"/>
          <w:szCs w:val="24"/>
        </w:rPr>
      </w:pPr>
      <w:r w:rsidRPr="004451F9">
        <w:rPr>
          <w:rFonts w:cs="Times New Roman"/>
          <w:sz w:val="24"/>
          <w:szCs w:val="24"/>
        </w:rPr>
        <w:t xml:space="preserve"> </w:t>
      </w:r>
    </w:p>
    <w:p w:rsidR="0036778D" w:rsidRPr="004451F9" w:rsidRDefault="007318AA" w:rsidP="007318AA">
      <w:pPr>
        <w:spacing w:after="0" w:line="480" w:lineRule="auto"/>
        <w:rPr>
          <w:rFonts w:cs="Times New Roman"/>
          <w:sz w:val="24"/>
          <w:szCs w:val="24"/>
        </w:rPr>
      </w:pPr>
      <w:r w:rsidRPr="004451F9">
        <w:rPr>
          <w:rFonts w:cs="Times New Roman"/>
          <w:sz w:val="24"/>
          <w:szCs w:val="24"/>
        </w:rPr>
        <w:lastRenderedPageBreak/>
        <w:t>Although some of these</w:t>
      </w:r>
      <w:r w:rsidR="00D049C7" w:rsidRPr="004451F9">
        <w:rPr>
          <w:rFonts w:cs="Times New Roman"/>
          <w:sz w:val="24"/>
          <w:szCs w:val="24"/>
        </w:rPr>
        <w:t xml:space="preserve"> articles were later rescinded</w:t>
      </w:r>
      <w:r w:rsidRPr="004451F9">
        <w:rPr>
          <w:rFonts w:cs="Times New Roman"/>
          <w:sz w:val="24"/>
          <w:szCs w:val="24"/>
        </w:rPr>
        <w:t>, the NSC also issued Law No. 2820 further restricting political parties by specifically prohibiting parties "based on class, religion, race, or language distinctions" and prohibiting criticism of the 1980 military intervention</w:t>
      </w:r>
      <w:r w:rsidR="00D049C7" w:rsidRPr="004451F9">
        <w:rPr>
          <w:rFonts w:cs="Times New Roman"/>
          <w:sz w:val="24"/>
          <w:szCs w:val="24"/>
        </w:rPr>
        <w:t>.</w:t>
      </w:r>
      <w:r w:rsidRPr="004451F9">
        <w:rPr>
          <w:rStyle w:val="FootnoteReference"/>
          <w:rFonts w:cs="Times New Roman"/>
          <w:sz w:val="24"/>
          <w:szCs w:val="24"/>
        </w:rPr>
        <w:footnoteReference w:id="168"/>
      </w:r>
      <w:r w:rsidRPr="004451F9">
        <w:rPr>
          <w:rFonts w:cs="Times New Roman"/>
          <w:sz w:val="24"/>
          <w:szCs w:val="24"/>
        </w:rPr>
        <w:t xml:space="preserve"> This, of course, backfired when the Motherland Party ended up winning the election in 1983.</w:t>
      </w:r>
      <w:r w:rsidRPr="004451F9">
        <w:rPr>
          <w:rStyle w:val="FootnoteReference"/>
          <w:rFonts w:cs="Times New Roman"/>
          <w:sz w:val="24"/>
          <w:szCs w:val="24"/>
        </w:rPr>
        <w:footnoteReference w:id="169"/>
      </w:r>
      <w:r w:rsidRPr="004451F9">
        <w:rPr>
          <w:rFonts w:cs="Times New Roman"/>
          <w:sz w:val="24"/>
          <w:szCs w:val="24"/>
        </w:rPr>
        <w:t xml:space="preserve"> </w:t>
      </w:r>
      <w:r w:rsidR="00A547FE" w:rsidRPr="004451F9">
        <w:rPr>
          <w:rFonts w:cs="Times New Roman"/>
          <w:sz w:val="24"/>
          <w:szCs w:val="24"/>
        </w:rPr>
        <w:t>Since then,</w:t>
      </w:r>
      <w:r w:rsidR="000B285C" w:rsidRPr="004451F9">
        <w:rPr>
          <w:rFonts w:cs="Times New Roman"/>
          <w:sz w:val="24"/>
          <w:szCs w:val="24"/>
        </w:rPr>
        <w:t xml:space="preserve"> the National Security Council description was revised </w:t>
      </w:r>
      <w:r w:rsidR="00A547FE" w:rsidRPr="004451F9">
        <w:rPr>
          <w:rFonts w:cs="Times New Roman"/>
          <w:sz w:val="24"/>
          <w:szCs w:val="24"/>
        </w:rPr>
        <w:t xml:space="preserve">in 2001 </w:t>
      </w:r>
      <w:r w:rsidR="000B285C" w:rsidRPr="004451F9">
        <w:rPr>
          <w:rFonts w:cs="Times New Roman"/>
          <w:sz w:val="24"/>
          <w:szCs w:val="24"/>
        </w:rPr>
        <w:t>to make its recommendations reviewable by and subordinate to the Council of Ministers rather than the other way around</w:t>
      </w:r>
      <w:r w:rsidR="00A547FE" w:rsidRPr="004451F9">
        <w:rPr>
          <w:rFonts w:cs="Times New Roman"/>
          <w:sz w:val="24"/>
          <w:szCs w:val="24"/>
        </w:rPr>
        <w:t>,</w:t>
      </w:r>
      <w:r w:rsidR="000B285C" w:rsidRPr="004451F9">
        <w:rPr>
          <w:rStyle w:val="FootnoteReference"/>
          <w:rFonts w:cs="Times New Roman"/>
          <w:sz w:val="24"/>
          <w:szCs w:val="24"/>
        </w:rPr>
        <w:footnoteReference w:id="170"/>
      </w:r>
      <w:r w:rsidR="000B285C" w:rsidRPr="004451F9">
        <w:rPr>
          <w:rFonts w:cs="Times New Roman"/>
          <w:sz w:val="24"/>
          <w:szCs w:val="24"/>
        </w:rPr>
        <w:t xml:space="preserve"> </w:t>
      </w:r>
      <w:r w:rsidR="00A547FE" w:rsidRPr="004451F9">
        <w:rPr>
          <w:rFonts w:cs="Times New Roman"/>
          <w:sz w:val="24"/>
          <w:szCs w:val="24"/>
        </w:rPr>
        <w:t>and earlier this year, the Justice and Development Party (JDP) passed a law allowing civilian courts to prosecute army officials.</w:t>
      </w:r>
      <w:r w:rsidR="00A547FE" w:rsidRPr="004451F9">
        <w:rPr>
          <w:rStyle w:val="FootnoteReference"/>
          <w:rFonts w:cs="Times New Roman"/>
          <w:sz w:val="24"/>
          <w:szCs w:val="24"/>
        </w:rPr>
        <w:footnoteReference w:id="171"/>
      </w:r>
      <w:r w:rsidR="00A547FE" w:rsidRPr="004451F9">
        <w:rPr>
          <w:rFonts w:cs="Times New Roman"/>
          <w:sz w:val="24"/>
          <w:szCs w:val="24"/>
        </w:rPr>
        <w:t xml:space="preserve"> </w:t>
      </w:r>
      <w:r w:rsidRPr="004451F9">
        <w:rPr>
          <w:rFonts w:cs="Times New Roman"/>
          <w:sz w:val="24"/>
          <w:szCs w:val="24"/>
        </w:rPr>
        <w:t>But the constraints on political parties</w:t>
      </w:r>
      <w:r w:rsidR="00A547FE" w:rsidRPr="004451F9">
        <w:rPr>
          <w:rFonts w:cs="Times New Roman"/>
          <w:sz w:val="24"/>
          <w:szCs w:val="24"/>
        </w:rPr>
        <w:t xml:space="preserve"> brought about by the last military coup</w:t>
      </w:r>
      <w:r w:rsidRPr="004451F9">
        <w:rPr>
          <w:rFonts w:cs="Times New Roman"/>
          <w:sz w:val="24"/>
          <w:szCs w:val="24"/>
        </w:rPr>
        <w:t xml:space="preserve"> arguably contributed to political fragmentation and radicalization, fostering feelings of disenfranchisement by </w:t>
      </w:r>
      <w:r w:rsidR="00A547FE" w:rsidRPr="004451F9">
        <w:rPr>
          <w:rFonts w:cs="Times New Roman"/>
          <w:sz w:val="24"/>
          <w:szCs w:val="24"/>
        </w:rPr>
        <w:t xml:space="preserve">some </w:t>
      </w:r>
      <w:r w:rsidRPr="004451F9">
        <w:rPr>
          <w:rFonts w:cs="Times New Roman"/>
          <w:sz w:val="24"/>
          <w:szCs w:val="24"/>
        </w:rPr>
        <w:t>groups.</w:t>
      </w:r>
    </w:p>
    <w:p w:rsidR="00BA3215" w:rsidRPr="004451F9" w:rsidRDefault="00510E25" w:rsidP="00BA3215">
      <w:pPr>
        <w:spacing w:after="0" w:line="480" w:lineRule="auto"/>
        <w:ind w:firstLine="720"/>
        <w:rPr>
          <w:rFonts w:cs="Times New Roman"/>
          <w:sz w:val="24"/>
          <w:szCs w:val="24"/>
        </w:rPr>
      </w:pPr>
      <w:r w:rsidRPr="004451F9">
        <w:rPr>
          <w:rFonts w:cs="Times New Roman"/>
          <w:sz w:val="24"/>
          <w:szCs w:val="24"/>
        </w:rPr>
        <w:t>Since 1995 several amendments have been made to the Constitution to restore some rights to political parties, and the Justice and Development Party (JDP) has made political party law reform a priority.</w:t>
      </w:r>
      <w:r w:rsidRPr="004451F9">
        <w:rPr>
          <w:rStyle w:val="FootnoteReference"/>
          <w:rFonts w:cs="Times New Roman"/>
          <w:sz w:val="24"/>
          <w:szCs w:val="24"/>
        </w:rPr>
        <w:footnoteReference w:id="172"/>
      </w:r>
      <w:r w:rsidRPr="004451F9">
        <w:rPr>
          <w:rFonts w:cs="Times New Roman"/>
          <w:sz w:val="24"/>
          <w:szCs w:val="24"/>
        </w:rPr>
        <w:t xml:space="preserve"> Article 68 of the constitution was amended </w:t>
      </w:r>
      <w:r w:rsidR="00982702" w:rsidRPr="004451F9">
        <w:rPr>
          <w:rFonts w:cs="Times New Roman"/>
          <w:sz w:val="24"/>
          <w:szCs w:val="24"/>
        </w:rPr>
        <w:t xml:space="preserve">in 1995 </w:t>
      </w:r>
      <w:r w:rsidRPr="004451F9">
        <w:rPr>
          <w:rFonts w:cs="Times New Roman"/>
          <w:sz w:val="24"/>
          <w:szCs w:val="24"/>
        </w:rPr>
        <w:t>to require the state to fund political parties equitably</w:t>
      </w:r>
      <w:r w:rsidR="00982702" w:rsidRPr="004451F9">
        <w:rPr>
          <w:rFonts w:cs="Times New Roman"/>
          <w:sz w:val="24"/>
          <w:szCs w:val="24"/>
        </w:rPr>
        <w:t>,</w:t>
      </w:r>
      <w:r w:rsidRPr="004451F9">
        <w:rPr>
          <w:rFonts w:cs="Times New Roman"/>
          <w:sz w:val="24"/>
          <w:szCs w:val="24"/>
        </w:rPr>
        <w:t xml:space="preserve"> </w:t>
      </w:r>
      <w:r w:rsidR="00982702" w:rsidRPr="004451F9">
        <w:rPr>
          <w:rFonts w:cs="Times New Roman"/>
          <w:sz w:val="24"/>
          <w:szCs w:val="24"/>
        </w:rPr>
        <w:t>and "[s]ince 1995 political parties have been allowed to organize sub-branches, for example for women and youth, and to engage in political cooperation with and receive financial aid from associations, trade unions, foundations, cooperatives and public professional organizations."</w:t>
      </w:r>
      <w:r w:rsidR="00982702" w:rsidRPr="004451F9">
        <w:rPr>
          <w:rStyle w:val="FootnoteReference"/>
          <w:rFonts w:cs="Times New Roman"/>
          <w:sz w:val="24"/>
          <w:szCs w:val="24"/>
        </w:rPr>
        <w:t xml:space="preserve"> </w:t>
      </w:r>
      <w:r w:rsidR="00982702" w:rsidRPr="004451F9">
        <w:rPr>
          <w:rStyle w:val="FootnoteReference"/>
          <w:rFonts w:cs="Times New Roman"/>
          <w:sz w:val="24"/>
          <w:szCs w:val="24"/>
        </w:rPr>
        <w:footnoteReference w:id="173"/>
      </w:r>
      <w:r w:rsidR="00982702" w:rsidRPr="004451F9">
        <w:rPr>
          <w:rFonts w:cs="Times New Roman"/>
          <w:sz w:val="24"/>
          <w:szCs w:val="24"/>
        </w:rPr>
        <w:t xml:space="preserve"> </w:t>
      </w:r>
      <w:r w:rsidR="009A3439" w:rsidRPr="004451F9">
        <w:rPr>
          <w:rFonts w:cs="Times New Roman"/>
          <w:sz w:val="24"/>
          <w:szCs w:val="24"/>
        </w:rPr>
        <w:t xml:space="preserve">Parties are still prohibited from seeking funding through </w:t>
      </w:r>
      <w:r w:rsidR="009A3439" w:rsidRPr="004451F9">
        <w:rPr>
          <w:rFonts w:cs="Times New Roman"/>
          <w:sz w:val="24"/>
          <w:szCs w:val="24"/>
        </w:rPr>
        <w:lastRenderedPageBreak/>
        <w:t>commercial activities or from foreign or international entities.</w:t>
      </w:r>
      <w:r w:rsidR="000B285C" w:rsidRPr="004451F9">
        <w:rPr>
          <w:rStyle w:val="FootnoteReference"/>
          <w:rFonts w:cs="Times New Roman"/>
          <w:sz w:val="24"/>
          <w:szCs w:val="24"/>
        </w:rPr>
        <w:footnoteReference w:id="174"/>
      </w:r>
      <w:r w:rsidR="009A3439" w:rsidRPr="004451F9">
        <w:rPr>
          <w:rFonts w:cs="Times New Roman"/>
          <w:sz w:val="24"/>
          <w:szCs w:val="24"/>
        </w:rPr>
        <w:t xml:space="preserve"> </w:t>
      </w:r>
      <w:r w:rsidR="000B285C" w:rsidRPr="004451F9">
        <w:rPr>
          <w:rFonts w:cs="Times New Roman"/>
          <w:sz w:val="24"/>
          <w:szCs w:val="24"/>
        </w:rPr>
        <w:t>T</w:t>
      </w:r>
      <w:r w:rsidR="00CC45A4" w:rsidRPr="004451F9">
        <w:rPr>
          <w:rFonts w:cs="Times New Roman"/>
          <w:sz w:val="24"/>
          <w:szCs w:val="24"/>
        </w:rPr>
        <w:t xml:space="preserve">he Constitutional Court </w:t>
      </w:r>
      <w:r w:rsidR="000B285C" w:rsidRPr="004451F9">
        <w:rPr>
          <w:rFonts w:cs="Times New Roman"/>
          <w:sz w:val="24"/>
          <w:szCs w:val="24"/>
        </w:rPr>
        <w:t xml:space="preserve">also </w:t>
      </w:r>
      <w:r w:rsidRPr="004451F9">
        <w:rPr>
          <w:rFonts w:cs="Times New Roman"/>
          <w:sz w:val="24"/>
          <w:szCs w:val="24"/>
        </w:rPr>
        <w:t xml:space="preserve">still </w:t>
      </w:r>
      <w:r w:rsidR="00982702" w:rsidRPr="004451F9">
        <w:rPr>
          <w:rFonts w:cs="Times New Roman"/>
          <w:sz w:val="24"/>
          <w:szCs w:val="24"/>
        </w:rPr>
        <w:t xml:space="preserve">has </w:t>
      </w:r>
      <w:r w:rsidRPr="004451F9">
        <w:rPr>
          <w:rFonts w:cs="Times New Roman"/>
          <w:sz w:val="24"/>
          <w:szCs w:val="24"/>
        </w:rPr>
        <w:t xml:space="preserve">the right to dissolve political parties, which it </w:t>
      </w:r>
      <w:r w:rsidR="00CC45A4" w:rsidRPr="004451F9">
        <w:rPr>
          <w:rFonts w:cs="Times New Roman"/>
          <w:sz w:val="24"/>
          <w:szCs w:val="24"/>
        </w:rPr>
        <w:t>has exercised a number of times since 1963.</w:t>
      </w:r>
      <w:r w:rsidR="00CC45A4" w:rsidRPr="004451F9">
        <w:rPr>
          <w:rStyle w:val="FootnoteReference"/>
          <w:rFonts w:cs="Times New Roman"/>
          <w:sz w:val="24"/>
          <w:szCs w:val="24"/>
        </w:rPr>
        <w:footnoteReference w:id="175"/>
      </w:r>
      <w:r w:rsidR="00CC45A4" w:rsidRPr="004451F9">
        <w:rPr>
          <w:rFonts w:cs="Times New Roman"/>
          <w:sz w:val="24"/>
          <w:szCs w:val="24"/>
        </w:rPr>
        <w:t xml:space="preserve"> </w:t>
      </w:r>
      <w:r w:rsidR="00A761F6" w:rsidRPr="004451F9">
        <w:rPr>
          <w:rFonts w:cs="Times New Roman"/>
          <w:sz w:val="24"/>
          <w:szCs w:val="24"/>
        </w:rPr>
        <w:t>The JDP amended the constitutional provisions for bringing and appealing a case against a political party, and now the Constitutional Court has the option of denying state funding to a party rather than dissolving it.</w:t>
      </w:r>
      <w:r w:rsidR="00A761F6" w:rsidRPr="004451F9">
        <w:rPr>
          <w:rStyle w:val="FootnoteReference"/>
          <w:rFonts w:cs="Times New Roman"/>
          <w:sz w:val="24"/>
          <w:szCs w:val="24"/>
        </w:rPr>
        <w:footnoteReference w:id="176"/>
      </w:r>
      <w:r w:rsidR="00A761F6" w:rsidRPr="004451F9">
        <w:rPr>
          <w:rFonts w:cs="Times New Roman"/>
          <w:sz w:val="24"/>
          <w:szCs w:val="24"/>
        </w:rPr>
        <w:t xml:space="preserve"> </w:t>
      </w:r>
      <w:r w:rsidR="00CC45A4" w:rsidRPr="004451F9">
        <w:rPr>
          <w:rFonts w:cs="Times New Roman"/>
          <w:sz w:val="24"/>
          <w:szCs w:val="24"/>
        </w:rPr>
        <w:t>Three pro-Islamist parties have been dissolved for violating laicism.</w:t>
      </w:r>
      <w:r w:rsidR="00CC45A4" w:rsidRPr="004451F9">
        <w:rPr>
          <w:rStyle w:val="FootnoteReference"/>
          <w:rFonts w:cs="Times New Roman"/>
          <w:sz w:val="24"/>
          <w:szCs w:val="24"/>
        </w:rPr>
        <w:footnoteReference w:id="177"/>
      </w:r>
      <w:r w:rsidR="00CC45A4" w:rsidRPr="004451F9">
        <w:rPr>
          <w:rFonts w:cs="Times New Roman"/>
          <w:sz w:val="24"/>
          <w:szCs w:val="24"/>
        </w:rPr>
        <w:t xml:space="preserve"> </w:t>
      </w:r>
      <w:r w:rsidR="00A547FE" w:rsidRPr="004451F9">
        <w:rPr>
          <w:rFonts w:cs="Times New Roman"/>
          <w:sz w:val="24"/>
          <w:szCs w:val="24"/>
        </w:rPr>
        <w:t>In 2008</w:t>
      </w:r>
      <w:r w:rsidR="00A761F6" w:rsidRPr="004451F9">
        <w:rPr>
          <w:rFonts w:cs="Times New Roman"/>
          <w:sz w:val="24"/>
          <w:szCs w:val="24"/>
        </w:rPr>
        <w:t xml:space="preserve"> the Court </w:t>
      </w:r>
      <w:r w:rsidR="00A547FE" w:rsidRPr="004451F9">
        <w:rPr>
          <w:rFonts w:cs="Times New Roman"/>
          <w:sz w:val="24"/>
          <w:szCs w:val="24"/>
        </w:rPr>
        <w:t xml:space="preserve">even </w:t>
      </w:r>
      <w:r w:rsidR="00A761F6" w:rsidRPr="004451F9">
        <w:rPr>
          <w:rFonts w:cs="Times New Roman"/>
          <w:sz w:val="24"/>
          <w:szCs w:val="24"/>
        </w:rPr>
        <w:t xml:space="preserve">halved the public funding of the JDP on similar grounds </w:t>
      </w:r>
      <w:r w:rsidR="00A547FE" w:rsidRPr="004451F9">
        <w:rPr>
          <w:rFonts w:cs="Times New Roman"/>
          <w:sz w:val="24"/>
          <w:szCs w:val="24"/>
        </w:rPr>
        <w:t>after the JDP passed a law allowing females to wear the Islamic headscarf at universities</w:t>
      </w:r>
      <w:r w:rsidR="005345CB" w:rsidRPr="004451F9">
        <w:rPr>
          <w:rFonts w:cs="Times New Roman"/>
          <w:sz w:val="24"/>
          <w:szCs w:val="24"/>
        </w:rPr>
        <w:t xml:space="preserve"> – a law the Court struck down as unconstitutional.</w:t>
      </w:r>
      <w:r w:rsidR="005345CB" w:rsidRPr="004451F9">
        <w:rPr>
          <w:rStyle w:val="FootnoteReference"/>
          <w:rFonts w:cs="Times New Roman"/>
          <w:sz w:val="24"/>
          <w:szCs w:val="24"/>
        </w:rPr>
        <w:footnoteReference w:id="178"/>
      </w:r>
      <w:r w:rsidR="005345CB" w:rsidRPr="004451F9">
        <w:rPr>
          <w:rFonts w:cs="Times New Roman"/>
          <w:sz w:val="24"/>
          <w:szCs w:val="24"/>
        </w:rPr>
        <w:t xml:space="preserve"> The ruling party escaped dissolution by merely one vote.</w:t>
      </w:r>
      <w:r w:rsidR="005345CB" w:rsidRPr="004451F9">
        <w:rPr>
          <w:rStyle w:val="FootnoteReference"/>
          <w:rFonts w:cs="Times New Roman"/>
          <w:sz w:val="24"/>
          <w:szCs w:val="24"/>
        </w:rPr>
        <w:footnoteReference w:id="179"/>
      </w:r>
      <w:r w:rsidR="005345CB" w:rsidRPr="004451F9">
        <w:rPr>
          <w:rFonts w:cs="Times New Roman"/>
          <w:sz w:val="24"/>
          <w:szCs w:val="24"/>
        </w:rPr>
        <w:t xml:space="preserve"> </w:t>
      </w:r>
      <w:r w:rsidR="003B4980" w:rsidRPr="004451F9">
        <w:rPr>
          <w:rFonts w:cs="Times New Roman"/>
          <w:sz w:val="24"/>
          <w:szCs w:val="24"/>
        </w:rPr>
        <w:t>The Court has dissolved eighteen parties since 1980.</w:t>
      </w:r>
      <w:r w:rsidR="003B4980" w:rsidRPr="004451F9">
        <w:rPr>
          <w:rStyle w:val="FootnoteReference"/>
          <w:rFonts w:cs="Times New Roman"/>
          <w:sz w:val="24"/>
          <w:szCs w:val="24"/>
        </w:rPr>
        <w:footnoteReference w:id="180"/>
      </w:r>
      <w:r w:rsidR="00BA3215" w:rsidRPr="004451F9">
        <w:rPr>
          <w:rFonts w:cs="Times New Roman"/>
          <w:sz w:val="24"/>
          <w:szCs w:val="24"/>
        </w:rPr>
        <w:t xml:space="preserve"> Dissolved parties are not supposed to be reconstituted, and their leaders suffer temporary banishment from any political party.</w:t>
      </w:r>
      <w:r w:rsidR="00BA3215" w:rsidRPr="004451F9">
        <w:rPr>
          <w:rStyle w:val="FootnoteReference"/>
          <w:rFonts w:cs="Times New Roman"/>
          <w:sz w:val="24"/>
          <w:szCs w:val="24"/>
        </w:rPr>
        <w:footnoteReference w:id="181"/>
      </w:r>
      <w:r w:rsidR="009A3439" w:rsidRPr="004451F9">
        <w:rPr>
          <w:rFonts w:cs="Times New Roman"/>
          <w:sz w:val="24"/>
          <w:szCs w:val="24"/>
        </w:rPr>
        <w:t xml:space="preserve"> However, that temporary banishment has been contracted somewhat under the JDP.</w:t>
      </w:r>
      <w:r w:rsidR="009A3439" w:rsidRPr="004451F9">
        <w:rPr>
          <w:rStyle w:val="FootnoteReference"/>
          <w:rFonts w:cs="Times New Roman"/>
          <w:sz w:val="24"/>
          <w:szCs w:val="24"/>
        </w:rPr>
        <w:footnoteReference w:id="182"/>
      </w:r>
      <w:r w:rsidR="009A3439" w:rsidRPr="004451F9">
        <w:rPr>
          <w:rFonts w:cs="Times New Roman"/>
          <w:sz w:val="24"/>
          <w:szCs w:val="24"/>
        </w:rPr>
        <w:t xml:space="preserve"> Furthermore, "the prospect of a Constitutional Court case against a party with Kurdish or </w:t>
      </w:r>
      <w:r w:rsidR="009A3439" w:rsidRPr="004451F9">
        <w:rPr>
          <w:rFonts w:cs="Times New Roman"/>
          <w:sz w:val="24"/>
          <w:szCs w:val="24"/>
        </w:rPr>
        <w:lastRenderedPageBreak/>
        <w:t>Islamic tendencies is so normal that in recent years an interesting strategy of founding what is called 'spare parties' has emerged," so that members may "resume political activity in case the main party [is] dissolved."</w:t>
      </w:r>
      <w:r w:rsidR="009A3439" w:rsidRPr="004451F9">
        <w:rPr>
          <w:rStyle w:val="FootnoteReference"/>
          <w:rFonts w:cs="Times New Roman"/>
          <w:sz w:val="24"/>
          <w:szCs w:val="24"/>
        </w:rPr>
        <w:footnoteReference w:id="183"/>
      </w:r>
      <w:r w:rsidR="009A3439" w:rsidRPr="004451F9">
        <w:rPr>
          <w:rFonts w:cs="Times New Roman"/>
          <w:sz w:val="24"/>
          <w:szCs w:val="24"/>
        </w:rPr>
        <w:t xml:space="preserve"> One scholar also claims that "</w:t>
      </w:r>
      <w:r w:rsidR="00CC45A4" w:rsidRPr="004451F9">
        <w:rPr>
          <w:rFonts w:cs="Times New Roman"/>
          <w:sz w:val="24"/>
          <w:szCs w:val="24"/>
        </w:rPr>
        <w:t>the distribution of free broadcast time during political campaigns is unequal, breaching the constitutional limits on fundamental rights and freedoms."</w:t>
      </w:r>
      <w:r w:rsidR="00CC45A4" w:rsidRPr="004451F9">
        <w:rPr>
          <w:rStyle w:val="FootnoteReference"/>
          <w:rFonts w:cs="Times New Roman"/>
          <w:sz w:val="24"/>
          <w:szCs w:val="24"/>
        </w:rPr>
        <w:footnoteReference w:id="184"/>
      </w:r>
    </w:p>
    <w:p w:rsidR="00863B83" w:rsidRPr="004451F9" w:rsidRDefault="00863B83" w:rsidP="00B35AC7">
      <w:pPr>
        <w:spacing w:after="0" w:line="480" w:lineRule="auto"/>
        <w:rPr>
          <w:rFonts w:cs="Times New Roman"/>
          <w:sz w:val="24"/>
          <w:szCs w:val="24"/>
        </w:rPr>
      </w:pPr>
      <w:r w:rsidRPr="004451F9">
        <w:rPr>
          <w:rFonts w:cs="Times New Roman"/>
          <w:sz w:val="24"/>
          <w:szCs w:val="24"/>
        </w:rPr>
        <w:t xml:space="preserve">C. </w:t>
      </w:r>
      <w:r w:rsidRPr="004451F9">
        <w:rPr>
          <w:rFonts w:cs="Times New Roman"/>
          <w:i/>
          <w:sz w:val="24"/>
          <w:szCs w:val="24"/>
        </w:rPr>
        <w:t>Turkey: A Way Forward?</w:t>
      </w:r>
    </w:p>
    <w:p w:rsidR="00A11194" w:rsidRPr="004451F9" w:rsidRDefault="005345CB" w:rsidP="00B35AC7">
      <w:pPr>
        <w:spacing w:after="0" w:line="480" w:lineRule="auto"/>
        <w:ind w:firstLine="720"/>
        <w:rPr>
          <w:rFonts w:cs="Times New Roman"/>
          <w:sz w:val="24"/>
          <w:szCs w:val="24"/>
        </w:rPr>
      </w:pPr>
      <w:r w:rsidRPr="004451F9">
        <w:rPr>
          <w:rFonts w:cs="Times New Roman"/>
          <w:sz w:val="24"/>
          <w:szCs w:val="24"/>
        </w:rPr>
        <w:t xml:space="preserve">Turkey's continuing political issues stem from the country's extreme secularism and nationalism, which were grafted to the identity of the Republic at its inception. Although the </w:t>
      </w:r>
      <w:r w:rsidR="00453822" w:rsidRPr="004451F9">
        <w:rPr>
          <w:rFonts w:cs="Times New Roman"/>
          <w:sz w:val="24"/>
          <w:szCs w:val="24"/>
        </w:rPr>
        <w:t xml:space="preserve">secular changes </w:t>
      </w:r>
      <w:r w:rsidRPr="004451F9">
        <w:rPr>
          <w:rFonts w:cs="Times New Roman"/>
          <w:sz w:val="24"/>
          <w:szCs w:val="24"/>
        </w:rPr>
        <w:t xml:space="preserve">Mustafa </w:t>
      </w:r>
      <w:r w:rsidR="00453822" w:rsidRPr="004451F9">
        <w:rPr>
          <w:rFonts w:cs="Times New Roman"/>
          <w:sz w:val="24"/>
          <w:szCs w:val="24"/>
        </w:rPr>
        <w:t xml:space="preserve">Kemal made </w:t>
      </w:r>
      <w:r w:rsidRPr="004451F9">
        <w:rPr>
          <w:rFonts w:cs="Times New Roman"/>
          <w:sz w:val="24"/>
          <w:szCs w:val="24"/>
        </w:rPr>
        <w:t>after abolishing the Caliphate were not constitutionalized, they</w:t>
      </w:r>
      <w:r w:rsidR="00453822" w:rsidRPr="004451F9">
        <w:rPr>
          <w:rFonts w:cs="Times New Roman"/>
          <w:sz w:val="24"/>
          <w:szCs w:val="24"/>
        </w:rPr>
        <w:t xml:space="preserve"> had a huge impact o</w:t>
      </w:r>
      <w:r w:rsidRPr="004451F9">
        <w:rPr>
          <w:rFonts w:cs="Times New Roman"/>
          <w:sz w:val="24"/>
          <w:szCs w:val="24"/>
        </w:rPr>
        <w:t>n what "secularism" would evolve into, namely a form of</w:t>
      </w:r>
      <w:r w:rsidR="00453822" w:rsidRPr="004451F9">
        <w:rPr>
          <w:rFonts w:cs="Times New Roman"/>
          <w:sz w:val="24"/>
          <w:szCs w:val="24"/>
        </w:rPr>
        <w:t xml:space="preserve"> laicism</w:t>
      </w:r>
      <w:r w:rsidRPr="004451F9">
        <w:rPr>
          <w:rFonts w:cs="Times New Roman"/>
          <w:sz w:val="24"/>
          <w:szCs w:val="24"/>
        </w:rPr>
        <w:t xml:space="preserve"> that oppresses </w:t>
      </w:r>
      <w:r w:rsidR="00A11194" w:rsidRPr="004451F9">
        <w:rPr>
          <w:rFonts w:cs="Times New Roman"/>
          <w:sz w:val="24"/>
          <w:szCs w:val="24"/>
        </w:rPr>
        <w:t xml:space="preserve">both </w:t>
      </w:r>
      <w:r w:rsidRPr="004451F9">
        <w:rPr>
          <w:rFonts w:cs="Times New Roman"/>
          <w:sz w:val="24"/>
          <w:szCs w:val="24"/>
        </w:rPr>
        <w:t>religious and political expression</w:t>
      </w:r>
      <w:r w:rsidR="00453822" w:rsidRPr="004451F9">
        <w:rPr>
          <w:rFonts w:cs="Times New Roman"/>
          <w:sz w:val="24"/>
          <w:szCs w:val="24"/>
        </w:rPr>
        <w:t xml:space="preserve">. </w:t>
      </w:r>
      <w:r w:rsidR="00A11194" w:rsidRPr="004451F9">
        <w:rPr>
          <w:rFonts w:cs="Times New Roman"/>
          <w:sz w:val="24"/>
          <w:szCs w:val="24"/>
        </w:rPr>
        <w:t>In the balancing of rights, freedom of religion always gives way to the secularism of the state in all arenas. And potentially a drafting mistake</w:t>
      </w:r>
      <w:r w:rsidR="00C047BF" w:rsidRPr="004451F9">
        <w:rPr>
          <w:rFonts w:cs="Times New Roman"/>
          <w:sz w:val="24"/>
          <w:szCs w:val="24"/>
        </w:rPr>
        <w:t xml:space="preserve"> in</w:t>
      </w:r>
      <w:r w:rsidR="00A11194" w:rsidRPr="004451F9">
        <w:rPr>
          <w:rFonts w:cs="Times New Roman"/>
          <w:sz w:val="24"/>
          <w:szCs w:val="24"/>
        </w:rPr>
        <w:t xml:space="preserve"> the</w:t>
      </w:r>
      <w:r w:rsidR="00C047BF" w:rsidRPr="004451F9">
        <w:rPr>
          <w:rFonts w:cs="Times New Roman"/>
          <w:sz w:val="24"/>
          <w:szCs w:val="24"/>
        </w:rPr>
        <w:t xml:space="preserve"> Treaty of Lausanne, failing to anticipate the needs of non-Muslim, ethnic minorities in Turkey, </w:t>
      </w:r>
      <w:r w:rsidR="00A11194" w:rsidRPr="004451F9">
        <w:rPr>
          <w:rFonts w:cs="Times New Roman"/>
          <w:sz w:val="24"/>
          <w:szCs w:val="24"/>
        </w:rPr>
        <w:t xml:space="preserve">has </w:t>
      </w:r>
      <w:r w:rsidR="00C047BF" w:rsidRPr="004451F9">
        <w:rPr>
          <w:rFonts w:cs="Times New Roman"/>
          <w:sz w:val="24"/>
          <w:szCs w:val="24"/>
        </w:rPr>
        <w:t xml:space="preserve">allowed Turkey to use the treaty to </w:t>
      </w:r>
      <w:r w:rsidR="00A11194" w:rsidRPr="004451F9">
        <w:rPr>
          <w:rFonts w:cs="Times New Roman"/>
          <w:sz w:val="24"/>
          <w:szCs w:val="24"/>
        </w:rPr>
        <w:t xml:space="preserve">essentially </w:t>
      </w:r>
      <w:r w:rsidR="00C047BF" w:rsidRPr="004451F9">
        <w:rPr>
          <w:rFonts w:cs="Times New Roman"/>
          <w:sz w:val="24"/>
          <w:szCs w:val="24"/>
        </w:rPr>
        <w:t xml:space="preserve">disregard the Kurds and their needs. Coupled with the mandate to abolish "privileges" for any class, it enshrines a sort of oppression. </w:t>
      </w:r>
      <w:r w:rsidR="00A11194" w:rsidRPr="004451F9">
        <w:rPr>
          <w:rFonts w:cs="Times New Roman"/>
          <w:sz w:val="24"/>
          <w:szCs w:val="24"/>
        </w:rPr>
        <w:t>These issues highlight</w:t>
      </w:r>
      <w:r w:rsidR="00111C21" w:rsidRPr="004451F9">
        <w:rPr>
          <w:rFonts w:cs="Times New Roman"/>
          <w:sz w:val="24"/>
          <w:szCs w:val="24"/>
        </w:rPr>
        <w:t xml:space="preserve"> the need to couch rights in terms of equality rather than </w:t>
      </w:r>
      <w:r w:rsidR="00A11194" w:rsidRPr="004451F9">
        <w:rPr>
          <w:rFonts w:cs="Times New Roman"/>
          <w:sz w:val="24"/>
          <w:szCs w:val="24"/>
        </w:rPr>
        <w:t>reservations</w:t>
      </w:r>
      <w:r w:rsidR="00F00AB1" w:rsidRPr="004451F9">
        <w:rPr>
          <w:rFonts w:cs="Times New Roman"/>
          <w:sz w:val="24"/>
          <w:szCs w:val="24"/>
        </w:rPr>
        <w:t xml:space="preserve"> or proscriptions for</w:t>
      </w:r>
      <w:r w:rsidR="00111C21" w:rsidRPr="004451F9">
        <w:rPr>
          <w:rFonts w:cs="Times New Roman"/>
          <w:sz w:val="24"/>
          <w:szCs w:val="24"/>
        </w:rPr>
        <w:t xml:space="preserve"> certain group</w:t>
      </w:r>
      <w:r w:rsidR="00F00AB1" w:rsidRPr="004451F9">
        <w:rPr>
          <w:rFonts w:cs="Times New Roman"/>
          <w:sz w:val="24"/>
          <w:szCs w:val="24"/>
        </w:rPr>
        <w:t>s</w:t>
      </w:r>
      <w:r w:rsidR="00111C21" w:rsidRPr="004451F9">
        <w:rPr>
          <w:rFonts w:cs="Times New Roman"/>
          <w:sz w:val="24"/>
          <w:szCs w:val="24"/>
        </w:rPr>
        <w:t xml:space="preserve">. </w:t>
      </w:r>
      <w:r w:rsidR="00A11194" w:rsidRPr="004451F9">
        <w:rPr>
          <w:rFonts w:cs="Times New Roman"/>
          <w:sz w:val="24"/>
          <w:szCs w:val="24"/>
        </w:rPr>
        <w:t xml:space="preserve">Unflinching commitment to </w:t>
      </w:r>
      <w:r w:rsidR="00F00AB1" w:rsidRPr="004451F9">
        <w:rPr>
          <w:rFonts w:cs="Times New Roman"/>
          <w:sz w:val="24"/>
          <w:szCs w:val="24"/>
        </w:rPr>
        <w:t>the founding</w:t>
      </w:r>
      <w:r w:rsidR="00A11194" w:rsidRPr="004451F9">
        <w:rPr>
          <w:rFonts w:cs="Times New Roman"/>
          <w:sz w:val="24"/>
          <w:szCs w:val="24"/>
        </w:rPr>
        <w:t xml:space="preserve"> principles has</w:t>
      </w:r>
      <w:r w:rsidR="00111C21" w:rsidRPr="004451F9">
        <w:rPr>
          <w:rFonts w:cs="Times New Roman"/>
          <w:sz w:val="24"/>
          <w:szCs w:val="24"/>
        </w:rPr>
        <w:t xml:space="preserve"> </w:t>
      </w:r>
      <w:r w:rsidR="00A11194" w:rsidRPr="004451F9">
        <w:rPr>
          <w:rFonts w:cs="Times New Roman"/>
          <w:sz w:val="24"/>
          <w:szCs w:val="24"/>
        </w:rPr>
        <w:t>created disenfranchised groups and has not</w:t>
      </w:r>
      <w:r w:rsidR="00111C21" w:rsidRPr="004451F9">
        <w:rPr>
          <w:rFonts w:cs="Times New Roman"/>
          <w:sz w:val="24"/>
          <w:szCs w:val="24"/>
        </w:rPr>
        <w:t xml:space="preserve"> accomplished t</w:t>
      </w:r>
      <w:r w:rsidR="00A11194" w:rsidRPr="004451F9">
        <w:rPr>
          <w:rFonts w:cs="Times New Roman"/>
          <w:sz w:val="24"/>
          <w:szCs w:val="24"/>
        </w:rPr>
        <w:t>he goal of stamping out religious or ethnic political catalysts</w:t>
      </w:r>
      <w:r w:rsidR="00111C21" w:rsidRPr="004451F9">
        <w:rPr>
          <w:rFonts w:cs="Times New Roman"/>
          <w:sz w:val="24"/>
          <w:szCs w:val="24"/>
        </w:rPr>
        <w:t xml:space="preserve">. </w:t>
      </w:r>
      <w:r w:rsidR="00A11194" w:rsidRPr="004451F9">
        <w:rPr>
          <w:rFonts w:cs="Times New Roman"/>
          <w:sz w:val="24"/>
          <w:szCs w:val="24"/>
        </w:rPr>
        <w:t>On the contrary, these political interests have existed s</w:t>
      </w:r>
      <w:r w:rsidR="00111C21" w:rsidRPr="004451F9">
        <w:rPr>
          <w:rFonts w:cs="Times New Roman"/>
          <w:sz w:val="24"/>
          <w:szCs w:val="24"/>
        </w:rPr>
        <w:t>ince the founding of the Republic</w:t>
      </w:r>
      <w:r w:rsidR="00A11194" w:rsidRPr="004451F9">
        <w:rPr>
          <w:rFonts w:cs="Times New Roman"/>
          <w:sz w:val="24"/>
          <w:szCs w:val="24"/>
        </w:rPr>
        <w:t>.</w:t>
      </w:r>
      <w:r w:rsidR="00111C21" w:rsidRPr="004451F9">
        <w:rPr>
          <w:rFonts w:cs="Times New Roman"/>
          <w:sz w:val="24"/>
          <w:szCs w:val="24"/>
        </w:rPr>
        <w:t xml:space="preserve"> </w:t>
      </w:r>
      <w:r w:rsidR="00A11194" w:rsidRPr="004451F9">
        <w:rPr>
          <w:rFonts w:cs="Times New Roman"/>
          <w:sz w:val="24"/>
          <w:szCs w:val="24"/>
        </w:rPr>
        <w:t xml:space="preserve">"Although various constitutional and criminal provisions against over religious propaganda in politics remain in force, Islamic conservative parties in all but name have in fact run in most Turkish elections since 1950, their vote typically ranging from 5 to 11 per cent of the </w:t>
      </w:r>
      <w:r w:rsidR="00A11194" w:rsidRPr="004451F9">
        <w:rPr>
          <w:rFonts w:cs="Times New Roman"/>
          <w:sz w:val="24"/>
          <w:szCs w:val="24"/>
        </w:rPr>
        <w:lastRenderedPageBreak/>
        <w:t>total."</w:t>
      </w:r>
      <w:r w:rsidR="00A11194" w:rsidRPr="004451F9">
        <w:rPr>
          <w:rStyle w:val="FootnoteReference"/>
          <w:rFonts w:cs="Times New Roman"/>
          <w:sz w:val="24"/>
          <w:szCs w:val="24"/>
        </w:rPr>
        <w:footnoteReference w:id="185"/>
      </w:r>
      <w:r w:rsidR="00A11194" w:rsidRPr="004451F9">
        <w:rPr>
          <w:rFonts w:cs="Times New Roman"/>
          <w:sz w:val="24"/>
          <w:szCs w:val="24"/>
        </w:rPr>
        <w:t xml:space="preserve"> </w:t>
      </w:r>
      <w:r w:rsidR="00F00AB1" w:rsidRPr="004451F9">
        <w:rPr>
          <w:rFonts w:cs="Times New Roman"/>
          <w:sz w:val="24"/>
          <w:szCs w:val="24"/>
        </w:rPr>
        <w:t>The current ruling party is rooted in Islamism and enjoys wide support, despite rumors of secret military plans for intervention</w:t>
      </w:r>
      <w:r w:rsidR="001A4E6B" w:rsidRPr="004451F9">
        <w:rPr>
          <w:rFonts w:cs="Times New Roman"/>
          <w:sz w:val="24"/>
          <w:szCs w:val="24"/>
        </w:rPr>
        <w:t xml:space="preserve"> or overthrow by ultranationalist groups</w:t>
      </w:r>
      <w:r w:rsidR="00F00AB1" w:rsidRPr="004451F9">
        <w:rPr>
          <w:rFonts w:cs="Times New Roman"/>
          <w:sz w:val="24"/>
          <w:szCs w:val="24"/>
        </w:rPr>
        <w:t>.</w:t>
      </w:r>
      <w:r w:rsidR="00F00AB1" w:rsidRPr="004451F9">
        <w:rPr>
          <w:rStyle w:val="FootnoteReference"/>
          <w:rFonts w:cs="Times New Roman"/>
          <w:sz w:val="24"/>
          <w:szCs w:val="24"/>
        </w:rPr>
        <w:footnoteReference w:id="186"/>
      </w:r>
      <w:r w:rsidR="00F00AB1" w:rsidRPr="004451F9">
        <w:rPr>
          <w:rFonts w:cs="Times New Roman"/>
          <w:sz w:val="24"/>
          <w:szCs w:val="24"/>
        </w:rPr>
        <w:t xml:space="preserve"> For now, </w:t>
      </w:r>
      <w:r w:rsidR="001A4E6B" w:rsidRPr="004451F9">
        <w:rPr>
          <w:rFonts w:cs="Times New Roman"/>
          <w:sz w:val="24"/>
          <w:szCs w:val="24"/>
        </w:rPr>
        <w:t>Turkey's pending EU application has allowed the EU to exert significant influence over the country to stimulate constitutional amendments and protect Kurdish and Islamic political groups.</w:t>
      </w:r>
      <w:r w:rsidR="001A4E6B" w:rsidRPr="004451F9">
        <w:rPr>
          <w:rStyle w:val="FootnoteReference"/>
          <w:rFonts w:cs="Times New Roman"/>
          <w:sz w:val="24"/>
          <w:szCs w:val="24"/>
        </w:rPr>
        <w:footnoteReference w:id="187"/>
      </w:r>
      <w:r w:rsidR="007F30B7" w:rsidRPr="004451F9">
        <w:rPr>
          <w:rFonts w:cs="Times New Roman"/>
          <w:sz w:val="24"/>
          <w:szCs w:val="24"/>
        </w:rPr>
        <w:t xml:space="preserve"> But Turkey may need to undergo yet another constitutional revision to ensure their acceptance into the EU</w:t>
      </w:r>
      <w:r w:rsidR="007F30B7" w:rsidRPr="004451F9">
        <w:rPr>
          <w:rStyle w:val="FootnoteReference"/>
          <w:rFonts w:cs="Times New Roman"/>
          <w:sz w:val="24"/>
          <w:szCs w:val="24"/>
        </w:rPr>
        <w:footnoteReference w:id="188"/>
      </w:r>
      <w:r w:rsidR="007F30B7" w:rsidRPr="004451F9">
        <w:rPr>
          <w:rFonts w:cs="Times New Roman"/>
          <w:sz w:val="24"/>
          <w:szCs w:val="24"/>
        </w:rPr>
        <w:t xml:space="preserve"> and, more important, democratic legitimacy via political party participation.</w:t>
      </w:r>
    </w:p>
    <w:p w:rsidR="00CC45A4" w:rsidRPr="004451F9" w:rsidRDefault="00B35AC7" w:rsidP="00B35AC7">
      <w:pPr>
        <w:spacing w:after="0" w:line="480" w:lineRule="auto"/>
        <w:jc w:val="center"/>
        <w:rPr>
          <w:rFonts w:cs="Times New Roman"/>
          <w:smallCaps/>
          <w:sz w:val="24"/>
          <w:szCs w:val="24"/>
        </w:rPr>
      </w:pPr>
      <w:r w:rsidRPr="004451F9">
        <w:rPr>
          <w:rFonts w:cs="Times New Roman"/>
          <w:smallCaps/>
          <w:sz w:val="24"/>
          <w:szCs w:val="24"/>
        </w:rPr>
        <w:t xml:space="preserve">II. </w:t>
      </w:r>
      <w:r w:rsidR="00CC45A4" w:rsidRPr="004451F9">
        <w:rPr>
          <w:rFonts w:cs="Times New Roman"/>
          <w:smallCaps/>
          <w:sz w:val="24"/>
          <w:szCs w:val="24"/>
        </w:rPr>
        <w:t>South Africa</w:t>
      </w:r>
    </w:p>
    <w:p w:rsidR="00FD5F2F" w:rsidRPr="004451F9" w:rsidRDefault="007D06D2" w:rsidP="00B35AC7">
      <w:pPr>
        <w:spacing w:after="0" w:line="480" w:lineRule="auto"/>
        <w:ind w:firstLine="720"/>
        <w:rPr>
          <w:rFonts w:cs="Times New Roman"/>
          <w:sz w:val="24"/>
          <w:szCs w:val="24"/>
        </w:rPr>
      </w:pPr>
      <w:r w:rsidRPr="004451F9">
        <w:rPr>
          <w:rFonts w:cs="Times New Roman"/>
          <w:sz w:val="24"/>
          <w:szCs w:val="24"/>
        </w:rPr>
        <w:t xml:space="preserve">Like Turkey, South Africa has a colorful history influenced by many cultures. Unlike Turkey, however, South Africa's tribal kingdoms were not sufficiently organized and pacted to resist imperial invasion. The history of both countries reflects decades of culture clash, but in South Africa's case, those clashes took place not at the frontiers of a vast empire but within the confines of a small region where competition for land and resources was fierce. And South Africa's history as a nation state, unlike Turkey, was shaped by its invaders rather than its natives. However, South Africa's ultimate transition to democracy was </w:t>
      </w:r>
      <w:r w:rsidR="00FD5F2F" w:rsidRPr="004451F9">
        <w:rPr>
          <w:rFonts w:cs="Times New Roman"/>
          <w:sz w:val="24"/>
          <w:szCs w:val="24"/>
        </w:rPr>
        <w:t>a product of its native sons and daughters.</w:t>
      </w:r>
    </w:p>
    <w:p w:rsidR="00FD5F2F" w:rsidRPr="004451F9" w:rsidRDefault="00FD5F2F" w:rsidP="00B35AC7">
      <w:pPr>
        <w:spacing w:after="0" w:line="480" w:lineRule="auto"/>
        <w:rPr>
          <w:rFonts w:cs="Times New Roman"/>
          <w:sz w:val="24"/>
          <w:szCs w:val="24"/>
        </w:rPr>
      </w:pPr>
      <w:r w:rsidRPr="004451F9">
        <w:rPr>
          <w:rFonts w:cs="Times New Roman"/>
          <w:sz w:val="24"/>
          <w:szCs w:val="24"/>
        </w:rPr>
        <w:t xml:space="preserve">A. </w:t>
      </w:r>
      <w:r w:rsidRPr="004451F9">
        <w:rPr>
          <w:rFonts w:cs="Times New Roman"/>
          <w:i/>
          <w:sz w:val="24"/>
          <w:szCs w:val="24"/>
        </w:rPr>
        <w:t>South Africa: History, Origins of Politics, and Political Parties</w:t>
      </w:r>
    </w:p>
    <w:p w:rsidR="004451F9" w:rsidRDefault="00FD5F2F" w:rsidP="004451F9">
      <w:pPr>
        <w:spacing w:after="0" w:line="480" w:lineRule="auto"/>
        <w:ind w:firstLine="720"/>
        <w:rPr>
          <w:rFonts w:cs="Times New Roman"/>
          <w:sz w:val="24"/>
          <w:szCs w:val="24"/>
        </w:rPr>
      </w:pPr>
      <w:r w:rsidRPr="004451F9">
        <w:rPr>
          <w:rFonts w:cs="Times New Roman"/>
          <w:sz w:val="24"/>
          <w:szCs w:val="24"/>
        </w:rPr>
        <w:lastRenderedPageBreak/>
        <w:t>There were essentially two types of tribes in the region prior to colonization – a more nomadic type and herdsmen.</w:t>
      </w:r>
      <w:r w:rsidR="004451F9" w:rsidRPr="004451F9">
        <w:rPr>
          <w:rStyle w:val="FootnoteReference"/>
          <w:rFonts w:cs="Times New Roman"/>
          <w:sz w:val="24"/>
          <w:szCs w:val="24"/>
        </w:rPr>
        <w:footnoteReference w:id="189"/>
      </w:r>
    </w:p>
    <w:p w:rsidR="004451F9" w:rsidRDefault="004451F9" w:rsidP="004451F9">
      <w:pPr>
        <w:spacing w:after="0" w:line="240" w:lineRule="auto"/>
        <w:ind w:left="720" w:right="720"/>
        <w:rPr>
          <w:rFonts w:cs="Times New Roman"/>
          <w:sz w:val="24"/>
          <w:szCs w:val="24"/>
        </w:rPr>
      </w:pPr>
      <w:r w:rsidRPr="004451F9">
        <w:rPr>
          <w:rFonts w:cs="Times New Roman"/>
          <w:sz w:val="24"/>
          <w:szCs w:val="24"/>
        </w:rPr>
        <w:t xml:space="preserve">The first inhabitants of the region were the Khoisan ... [who] were joined, and substantially displaced, by successive waves of people from the north, as the Bantu migrations dispersed peoples throughout Africa. These Bantu-speaking peoples were agriculturalists, as well as pastoralists ... . Their descendants are found today throughout southern Africa--for example, ... the Xhosa and Zulu in South Africa. </w:t>
      </w:r>
      <w:r w:rsidRPr="004451F9">
        <w:rPr>
          <w:rStyle w:val="FootnoteReference"/>
          <w:rFonts w:cs="Times New Roman"/>
          <w:sz w:val="24"/>
          <w:szCs w:val="24"/>
        </w:rPr>
        <w:footnoteReference w:id="190"/>
      </w:r>
    </w:p>
    <w:p w:rsidR="004451F9" w:rsidRDefault="004451F9" w:rsidP="004451F9">
      <w:pPr>
        <w:spacing w:after="0" w:line="240" w:lineRule="auto"/>
        <w:ind w:left="720" w:right="720"/>
        <w:rPr>
          <w:rFonts w:cs="Times New Roman"/>
          <w:sz w:val="24"/>
          <w:szCs w:val="24"/>
        </w:rPr>
      </w:pPr>
    </w:p>
    <w:p w:rsidR="00A34B87" w:rsidRPr="004451F9" w:rsidRDefault="003B4980" w:rsidP="004451F9">
      <w:pPr>
        <w:spacing w:after="0" w:line="480" w:lineRule="auto"/>
        <w:rPr>
          <w:rFonts w:cs="Times New Roman"/>
          <w:sz w:val="24"/>
          <w:szCs w:val="24"/>
        </w:rPr>
      </w:pPr>
      <w:r w:rsidRPr="004451F9">
        <w:rPr>
          <w:rFonts w:cs="Times New Roman"/>
          <w:sz w:val="24"/>
          <w:szCs w:val="24"/>
        </w:rPr>
        <w:t>The Khoikhoi tribe were herdsman, which allowed them to live together in larger units</w:t>
      </w:r>
      <w:r w:rsidR="00390670" w:rsidRPr="004451F9">
        <w:rPr>
          <w:rFonts w:cs="Times New Roman"/>
          <w:sz w:val="24"/>
          <w:szCs w:val="24"/>
        </w:rPr>
        <w:t xml:space="preserve"> and develop</w:t>
      </w:r>
      <w:r w:rsidRPr="004451F9">
        <w:rPr>
          <w:rFonts w:cs="Times New Roman"/>
          <w:sz w:val="24"/>
          <w:szCs w:val="24"/>
        </w:rPr>
        <w:t xml:space="preserve"> a sort of early political organization.</w:t>
      </w:r>
      <w:r w:rsidRPr="004451F9">
        <w:rPr>
          <w:rStyle w:val="FootnoteReference"/>
          <w:rFonts w:cs="Times New Roman"/>
          <w:sz w:val="24"/>
          <w:szCs w:val="24"/>
        </w:rPr>
        <w:footnoteReference w:id="191"/>
      </w:r>
      <w:r w:rsidRPr="004451F9">
        <w:rPr>
          <w:rFonts w:cs="Times New Roman"/>
          <w:sz w:val="24"/>
          <w:szCs w:val="24"/>
        </w:rPr>
        <w:t xml:space="preserve"> While "Bushman life did not allow for the accumulation of property[,]" the Khoikhoi derived wealth and, thus, power by their accumulation of cattle and sheep.</w:t>
      </w:r>
      <w:r w:rsidRPr="004451F9">
        <w:rPr>
          <w:rStyle w:val="FootnoteReference"/>
          <w:rFonts w:cs="Times New Roman"/>
          <w:sz w:val="24"/>
          <w:szCs w:val="24"/>
        </w:rPr>
        <w:footnoteReference w:id="192"/>
      </w:r>
      <w:r w:rsidRPr="004451F9">
        <w:rPr>
          <w:rFonts w:cs="Times New Roman"/>
          <w:sz w:val="24"/>
          <w:szCs w:val="24"/>
        </w:rPr>
        <w:t xml:space="preserve"> "A ruler's authority derived from his wealth,[sic] and disappeared if that wealth was dissipated or captured by enemies."</w:t>
      </w:r>
      <w:r w:rsidRPr="004451F9">
        <w:rPr>
          <w:rStyle w:val="FootnoteReference"/>
          <w:rFonts w:cs="Times New Roman"/>
          <w:sz w:val="24"/>
          <w:szCs w:val="24"/>
        </w:rPr>
        <w:footnoteReference w:id="193"/>
      </w:r>
      <w:r w:rsidR="00A34B87" w:rsidRPr="004451F9">
        <w:rPr>
          <w:rFonts w:cs="Times New Roman"/>
          <w:sz w:val="24"/>
          <w:szCs w:val="24"/>
        </w:rPr>
        <w:t xml:space="preserve"> This system, unfortunately, also developed to the exclusion of participation by women.</w:t>
      </w:r>
      <w:r w:rsidR="00A34B87" w:rsidRPr="004451F9">
        <w:rPr>
          <w:rStyle w:val="FootnoteReference"/>
          <w:rFonts w:cs="Times New Roman"/>
          <w:sz w:val="24"/>
          <w:szCs w:val="24"/>
        </w:rPr>
        <w:footnoteReference w:id="194"/>
      </w:r>
    </w:p>
    <w:p w:rsidR="00A34B87" w:rsidRPr="004451F9" w:rsidRDefault="00A34B87" w:rsidP="00B35AC7">
      <w:pPr>
        <w:spacing w:after="0" w:line="480" w:lineRule="auto"/>
        <w:ind w:firstLine="720"/>
        <w:rPr>
          <w:rFonts w:cs="Times New Roman"/>
          <w:sz w:val="24"/>
          <w:szCs w:val="24"/>
        </w:rPr>
      </w:pPr>
      <w:r w:rsidRPr="004451F9">
        <w:rPr>
          <w:rFonts w:cs="Times New Roman"/>
          <w:sz w:val="24"/>
          <w:szCs w:val="24"/>
        </w:rPr>
        <w:t xml:space="preserve">After the Dutch East India Company discovered that an efficient route to and from India and Southeast Asia required </w:t>
      </w:r>
      <w:r w:rsidR="00390670" w:rsidRPr="004451F9">
        <w:rPr>
          <w:rFonts w:cs="Times New Roman"/>
          <w:sz w:val="24"/>
          <w:szCs w:val="24"/>
        </w:rPr>
        <w:t xml:space="preserve">only </w:t>
      </w:r>
      <w:r w:rsidRPr="004451F9">
        <w:rPr>
          <w:rFonts w:cs="Times New Roman"/>
          <w:sz w:val="24"/>
          <w:szCs w:val="24"/>
        </w:rPr>
        <w:t>a stopover on South Africa's Cape, the Dutch founded a settlement there.</w:t>
      </w:r>
      <w:r w:rsidRPr="004451F9">
        <w:rPr>
          <w:rStyle w:val="FootnoteReference"/>
          <w:rFonts w:cs="Times New Roman"/>
          <w:sz w:val="24"/>
          <w:szCs w:val="24"/>
        </w:rPr>
        <w:footnoteReference w:id="195"/>
      </w:r>
      <w:r w:rsidRPr="004451F9">
        <w:rPr>
          <w:rFonts w:cs="Times New Roman"/>
          <w:sz w:val="24"/>
          <w:szCs w:val="24"/>
        </w:rPr>
        <w:t xml:space="preserve"> "In 1652, then, a small party of Dutchmen under Jan van Riebeeck arrived in Table Bay. In political and constitutional terms, the modern South African state is the lineal descendant of Van Riebeeck's settlement."</w:t>
      </w:r>
      <w:r w:rsidRPr="004451F9">
        <w:rPr>
          <w:rStyle w:val="FootnoteReference"/>
          <w:rFonts w:cs="Times New Roman"/>
          <w:sz w:val="24"/>
          <w:szCs w:val="24"/>
        </w:rPr>
        <w:footnoteReference w:id="196"/>
      </w:r>
      <w:r w:rsidRPr="004451F9">
        <w:rPr>
          <w:rFonts w:cs="Times New Roman"/>
          <w:sz w:val="24"/>
          <w:szCs w:val="24"/>
        </w:rPr>
        <w:t xml:space="preserve"> Initially, the Dutch tried to trade with the Khoikhoi for provisions, primarily meat, needed to sustain their sailors, but the Khoikhoi were "unable or </w:t>
      </w:r>
      <w:r w:rsidRPr="004451F9">
        <w:rPr>
          <w:rFonts w:cs="Times New Roman"/>
          <w:sz w:val="24"/>
          <w:szCs w:val="24"/>
        </w:rPr>
        <w:lastRenderedPageBreak/>
        <w:t>unwilling."</w:t>
      </w:r>
      <w:r w:rsidRPr="004451F9">
        <w:rPr>
          <w:rStyle w:val="FootnoteReference"/>
          <w:rFonts w:cs="Times New Roman"/>
          <w:sz w:val="24"/>
          <w:szCs w:val="24"/>
        </w:rPr>
        <w:footnoteReference w:id="197"/>
      </w:r>
      <w:r w:rsidRPr="004451F9">
        <w:rPr>
          <w:rFonts w:cs="Times New Roman"/>
          <w:sz w:val="24"/>
          <w:szCs w:val="24"/>
        </w:rPr>
        <w:t xml:space="preserve"> Subsequently, the Dutch took what they needed by force, including seizing land and livestock.</w:t>
      </w:r>
      <w:r w:rsidRPr="004451F9">
        <w:rPr>
          <w:rStyle w:val="FootnoteReference"/>
          <w:rFonts w:cs="Times New Roman"/>
          <w:sz w:val="24"/>
          <w:szCs w:val="24"/>
        </w:rPr>
        <w:footnoteReference w:id="198"/>
      </w:r>
    </w:p>
    <w:p w:rsidR="00A34B87" w:rsidRPr="004451F9" w:rsidRDefault="00A34B87" w:rsidP="00226316">
      <w:pPr>
        <w:spacing w:after="0" w:line="240" w:lineRule="auto"/>
        <w:ind w:left="720" w:right="720"/>
        <w:rPr>
          <w:rFonts w:cs="Times New Roman"/>
          <w:sz w:val="24"/>
          <w:szCs w:val="24"/>
        </w:rPr>
      </w:pPr>
      <w:r w:rsidRPr="004451F9">
        <w:rPr>
          <w:rFonts w:cs="Times New Roman"/>
          <w:sz w:val="24"/>
          <w:szCs w:val="24"/>
        </w:rPr>
        <w:t>Since the authority of the Khoikhoi leaders was primarily based on their riches in stock, both of these practices had the effect of decreasing their power, and thus the cohesion of the groups they controlled and their ability to resist. With the seizure of their flocks and herds, Khoikhoi polities disintegrated as organized units.</w:t>
      </w:r>
      <w:r w:rsidRPr="004451F9">
        <w:rPr>
          <w:rStyle w:val="FootnoteReference"/>
          <w:rFonts w:cs="Times New Roman"/>
          <w:sz w:val="24"/>
          <w:szCs w:val="24"/>
        </w:rPr>
        <w:footnoteReference w:id="199"/>
      </w:r>
    </w:p>
    <w:p w:rsidR="00226316" w:rsidRPr="004451F9" w:rsidRDefault="00226316" w:rsidP="00226316">
      <w:pPr>
        <w:spacing w:after="0" w:line="240" w:lineRule="auto"/>
        <w:ind w:left="720" w:right="720"/>
        <w:rPr>
          <w:rFonts w:cs="Times New Roman"/>
          <w:sz w:val="24"/>
          <w:szCs w:val="24"/>
        </w:rPr>
      </w:pPr>
    </w:p>
    <w:p w:rsidR="0039375E" w:rsidRPr="004451F9" w:rsidRDefault="00A34B87" w:rsidP="00B35AC7">
      <w:pPr>
        <w:spacing w:after="0" w:line="480" w:lineRule="auto"/>
        <w:ind w:firstLine="720"/>
        <w:rPr>
          <w:rFonts w:cs="Times New Roman"/>
          <w:sz w:val="24"/>
          <w:szCs w:val="24"/>
        </w:rPr>
      </w:pPr>
      <w:r w:rsidRPr="004451F9">
        <w:rPr>
          <w:rFonts w:cs="Times New Roman"/>
          <w:sz w:val="24"/>
          <w:szCs w:val="24"/>
        </w:rPr>
        <w:t>The Khoikhoi tried to band together with the San of the mountains and desert to resist the Dutch invasion, but were unsuccessful.</w:t>
      </w:r>
      <w:r w:rsidR="0039375E" w:rsidRPr="004451F9">
        <w:rPr>
          <w:rStyle w:val="FootnoteReference"/>
          <w:rFonts w:cs="Times New Roman"/>
          <w:sz w:val="24"/>
          <w:szCs w:val="24"/>
        </w:rPr>
        <w:footnoteReference w:id="200"/>
      </w:r>
      <w:r w:rsidRPr="004451F9">
        <w:rPr>
          <w:rFonts w:cs="Times New Roman"/>
          <w:sz w:val="24"/>
          <w:szCs w:val="24"/>
        </w:rPr>
        <w:t xml:space="preserve"> Ultimately, Cape Town grew with voluntary immigrants who were usually former employees of the Dutch East India Company or, to a lesser extent, religious refugees from other European countries such as France, and involuntary immigrants in the form of tens of thousands of slaves "from Indonesia, India, Madagascar, and the east coast of Africa in ap</w:t>
      </w:r>
      <w:r w:rsidR="0039375E" w:rsidRPr="004451F9">
        <w:rPr>
          <w:rFonts w:cs="Times New Roman"/>
          <w:sz w:val="24"/>
          <w:szCs w:val="24"/>
        </w:rPr>
        <w:t>proximately equal numbers."</w:t>
      </w:r>
      <w:r w:rsidR="0039375E" w:rsidRPr="004451F9">
        <w:rPr>
          <w:rStyle w:val="FootnoteReference"/>
          <w:rFonts w:cs="Times New Roman"/>
          <w:sz w:val="24"/>
          <w:szCs w:val="24"/>
        </w:rPr>
        <w:footnoteReference w:id="201"/>
      </w:r>
      <w:r w:rsidRPr="004451F9">
        <w:rPr>
          <w:rFonts w:cs="Times New Roman"/>
          <w:sz w:val="24"/>
          <w:szCs w:val="24"/>
        </w:rPr>
        <w:t xml:space="preserve"> The Dutch East India Company "governed" the colony, and the Khoisan and slaves provided labor for surrounding farms owned by white Europeans.</w:t>
      </w:r>
      <w:r w:rsidR="0039375E" w:rsidRPr="004451F9">
        <w:rPr>
          <w:rStyle w:val="FootnoteReference"/>
          <w:rFonts w:cs="Times New Roman"/>
          <w:sz w:val="24"/>
          <w:szCs w:val="24"/>
        </w:rPr>
        <w:footnoteReference w:id="202"/>
      </w:r>
      <w:r w:rsidRPr="004451F9">
        <w:rPr>
          <w:rFonts w:cs="Times New Roman"/>
          <w:sz w:val="24"/>
          <w:szCs w:val="24"/>
        </w:rPr>
        <w:t xml:space="preserve"> Less-well-off Europeans invaded the mountains and raided the Khoisan there of their herds, while simultaneously depending on the survivors they made into their slaves to keep their herds alive.</w:t>
      </w:r>
      <w:r w:rsidR="0039375E" w:rsidRPr="004451F9">
        <w:rPr>
          <w:rStyle w:val="FootnoteReference"/>
          <w:rFonts w:cs="Times New Roman"/>
          <w:sz w:val="24"/>
          <w:szCs w:val="24"/>
        </w:rPr>
        <w:footnoteReference w:id="203"/>
      </w:r>
      <w:r w:rsidR="00731B31">
        <w:rPr>
          <w:rFonts w:cs="Times New Roman"/>
          <w:sz w:val="24"/>
          <w:szCs w:val="24"/>
        </w:rPr>
        <w:t xml:space="preserve"> </w:t>
      </w:r>
      <w:r w:rsidR="0039375E" w:rsidRPr="004451F9">
        <w:rPr>
          <w:rFonts w:cs="Times New Roman"/>
          <w:sz w:val="24"/>
          <w:szCs w:val="24"/>
        </w:rPr>
        <w:t>"The population of [European descendants] doubled every generation; the area of European settlement, however thin, expanded almost as rapidly. In doing so, farmers moved beyond the scope of effective political control by the [Dutch East India Company] government, and its institutions were only accepted when it suited the farmers."</w:t>
      </w:r>
      <w:r w:rsidR="0039375E" w:rsidRPr="004451F9">
        <w:rPr>
          <w:rStyle w:val="FootnoteReference"/>
          <w:rFonts w:cs="Times New Roman"/>
          <w:sz w:val="24"/>
          <w:szCs w:val="24"/>
        </w:rPr>
        <w:footnoteReference w:id="204"/>
      </w:r>
    </w:p>
    <w:p w:rsidR="0039375E" w:rsidRPr="004451F9" w:rsidRDefault="0039375E" w:rsidP="00B35AC7">
      <w:pPr>
        <w:spacing w:after="0" w:line="480" w:lineRule="auto"/>
        <w:ind w:firstLine="720"/>
        <w:rPr>
          <w:rFonts w:cs="Times New Roman"/>
          <w:sz w:val="24"/>
          <w:szCs w:val="24"/>
        </w:rPr>
      </w:pPr>
      <w:r w:rsidRPr="004451F9">
        <w:rPr>
          <w:rFonts w:cs="Times New Roman"/>
          <w:sz w:val="24"/>
          <w:szCs w:val="24"/>
        </w:rPr>
        <w:lastRenderedPageBreak/>
        <w:t>Tribal leaders who could capitalize on trade with the Dutch East India Company colony were able to provide for more followers, and in combination with the increasing conflict, it meant that those tribal leaders who could provide more security attracted many more followers.</w:t>
      </w:r>
      <w:r w:rsidRPr="004451F9">
        <w:rPr>
          <w:rStyle w:val="FootnoteReference"/>
          <w:rFonts w:cs="Times New Roman"/>
          <w:sz w:val="24"/>
          <w:szCs w:val="24"/>
        </w:rPr>
        <w:footnoteReference w:id="205"/>
      </w:r>
      <w:r w:rsidRPr="004451F9">
        <w:rPr>
          <w:rFonts w:cs="Times New Roman"/>
          <w:sz w:val="24"/>
          <w:szCs w:val="24"/>
        </w:rPr>
        <w:t xml:space="preserve"> Thus, political consolidation began to occur among African tribes, often by force in an effort to both quash competitor tribes and gain power by taking livestock, farm land, and slaves.</w:t>
      </w:r>
      <w:r w:rsidRPr="004451F9">
        <w:rPr>
          <w:rStyle w:val="FootnoteReference"/>
          <w:rFonts w:cs="Times New Roman"/>
          <w:sz w:val="24"/>
          <w:szCs w:val="24"/>
        </w:rPr>
        <w:footnoteReference w:id="206"/>
      </w:r>
      <w:r w:rsidRPr="004451F9">
        <w:rPr>
          <w:rFonts w:cs="Times New Roman"/>
          <w:sz w:val="24"/>
          <w:szCs w:val="24"/>
        </w:rPr>
        <w:t xml:space="preserve"> Ultimately power came to be concentrated in a few tribal kingdoms.</w:t>
      </w:r>
      <w:r w:rsidRPr="004451F9">
        <w:rPr>
          <w:rStyle w:val="FootnoteReference"/>
          <w:rFonts w:cs="Times New Roman"/>
          <w:sz w:val="24"/>
          <w:szCs w:val="24"/>
        </w:rPr>
        <w:footnoteReference w:id="207"/>
      </w:r>
    </w:p>
    <w:p w:rsidR="00160848" w:rsidRPr="00A96CF5" w:rsidRDefault="0039375E" w:rsidP="00A96CF5">
      <w:pPr>
        <w:spacing w:after="0" w:line="480" w:lineRule="auto"/>
        <w:ind w:firstLine="720"/>
        <w:rPr>
          <w:rFonts w:cs="Times New Roman"/>
          <w:i/>
          <w:sz w:val="24"/>
          <w:szCs w:val="24"/>
        </w:rPr>
      </w:pPr>
      <w:r w:rsidRPr="004451F9">
        <w:rPr>
          <w:rFonts w:cs="Times New Roman"/>
          <w:sz w:val="24"/>
          <w:szCs w:val="24"/>
        </w:rPr>
        <w:t>After changing hands a few times between the British and Dutch starting in 1795, the Cape Colony finally ended up in British hands.</w:t>
      </w:r>
      <w:r w:rsidR="00A96CF5">
        <w:rPr>
          <w:rStyle w:val="FootnoteReference"/>
          <w:rFonts w:cs="Times New Roman"/>
          <w:sz w:val="24"/>
          <w:szCs w:val="24"/>
        </w:rPr>
        <w:footnoteReference w:id="208"/>
      </w:r>
      <w:r w:rsidRPr="004451F9">
        <w:rPr>
          <w:rFonts w:cs="Times New Roman"/>
          <w:sz w:val="24"/>
          <w:szCs w:val="24"/>
        </w:rPr>
        <w:t xml:space="preserve"> But "the British maintained the existing system of law, so that the basis of the South African legal system to this day is the Roman-Dutch law of the pre-revolutionary Netherlands. The codification which occurred in Europe under Napoleon was not incorporated."</w:t>
      </w:r>
      <w:r w:rsidR="00A96CF5">
        <w:rPr>
          <w:rStyle w:val="FootnoteReference"/>
          <w:rFonts w:cs="Times New Roman"/>
          <w:sz w:val="24"/>
          <w:szCs w:val="24"/>
        </w:rPr>
        <w:footnoteReference w:id="209"/>
      </w:r>
      <w:r w:rsidR="00A96CF5">
        <w:rPr>
          <w:rFonts w:cs="Times New Roman"/>
          <w:sz w:val="24"/>
          <w:szCs w:val="24"/>
        </w:rPr>
        <w:t xml:space="preserve"> </w:t>
      </w:r>
      <w:r w:rsidRPr="004451F9">
        <w:rPr>
          <w:rFonts w:cs="Times New Roman"/>
          <w:sz w:val="24"/>
          <w:szCs w:val="24"/>
        </w:rPr>
        <w:t xml:space="preserve">The British also continued political </w:t>
      </w:r>
      <w:r w:rsidR="00A96CF5">
        <w:rPr>
          <w:rFonts w:cs="Times New Roman"/>
          <w:sz w:val="24"/>
          <w:szCs w:val="24"/>
        </w:rPr>
        <w:t>alliances with major landowners, and t</w:t>
      </w:r>
      <w:r w:rsidRPr="004451F9">
        <w:rPr>
          <w:rFonts w:cs="Times New Roman"/>
          <w:sz w:val="24"/>
          <w:szCs w:val="24"/>
        </w:rPr>
        <w:t>heir takeover led to increased access to trade, abolishment of slave trade to British colonies in 1808, and an influx of British immigrants.</w:t>
      </w:r>
      <w:r w:rsidR="00A96CF5">
        <w:rPr>
          <w:rStyle w:val="FootnoteReference"/>
          <w:rFonts w:cs="Times New Roman"/>
          <w:sz w:val="24"/>
          <w:szCs w:val="24"/>
        </w:rPr>
        <w:footnoteReference w:id="210"/>
      </w:r>
      <w:r w:rsidR="00A96CF5">
        <w:rPr>
          <w:rFonts w:cs="Times New Roman"/>
          <w:sz w:val="24"/>
          <w:szCs w:val="24"/>
        </w:rPr>
        <w:t xml:space="preserve"> </w:t>
      </w:r>
      <w:r w:rsidR="00A96CF5" w:rsidRPr="004451F9">
        <w:rPr>
          <w:rFonts w:cs="Times New Roman"/>
          <w:sz w:val="24"/>
          <w:szCs w:val="24"/>
        </w:rPr>
        <w:t>By the 1830s "the Cape [was] probably the most heavily miss</w:t>
      </w:r>
      <w:r w:rsidR="00A96CF5">
        <w:rPr>
          <w:rFonts w:cs="Times New Roman"/>
          <w:sz w:val="24"/>
          <w:szCs w:val="24"/>
        </w:rPr>
        <w:t xml:space="preserve">ionised area in the world," </w:t>
      </w:r>
      <w:r w:rsidR="00A96CF5" w:rsidRPr="004451F9">
        <w:rPr>
          <w:rFonts w:cs="Times New Roman"/>
          <w:sz w:val="24"/>
          <w:szCs w:val="24"/>
        </w:rPr>
        <w:t>at least partly because the early missions had been very successful, providing safe havens for the Khoisan farm laborers.</w:t>
      </w:r>
      <w:r w:rsidR="00A96CF5">
        <w:rPr>
          <w:rStyle w:val="FootnoteReference"/>
          <w:rFonts w:cs="Times New Roman"/>
          <w:sz w:val="24"/>
          <w:szCs w:val="24"/>
        </w:rPr>
        <w:footnoteReference w:id="211"/>
      </w:r>
      <w:r w:rsidR="00A96CF5" w:rsidRPr="004451F9">
        <w:rPr>
          <w:rFonts w:cs="Times New Roman"/>
          <w:sz w:val="24"/>
          <w:szCs w:val="24"/>
        </w:rPr>
        <w:t xml:space="preserve"> The missionaries were also instrumental in the political reforms that granted greater labor rights to free blacks, particularly Khoisan, and abolished slavery.</w:t>
      </w:r>
      <w:r w:rsidR="00A96CF5">
        <w:rPr>
          <w:rStyle w:val="FootnoteReference"/>
          <w:rFonts w:cs="Times New Roman"/>
          <w:sz w:val="24"/>
          <w:szCs w:val="24"/>
        </w:rPr>
        <w:footnoteReference w:id="212"/>
      </w:r>
      <w:r w:rsidR="00A96CF5">
        <w:rPr>
          <w:rFonts w:cs="Times New Roman"/>
          <w:sz w:val="24"/>
          <w:szCs w:val="24"/>
        </w:rPr>
        <w:t xml:space="preserve"> </w:t>
      </w:r>
      <w:r w:rsidR="00160848" w:rsidRPr="004451F9">
        <w:rPr>
          <w:rFonts w:cs="Times New Roman"/>
          <w:sz w:val="24"/>
          <w:szCs w:val="24"/>
        </w:rPr>
        <w:t xml:space="preserve">The late 1820s and 1830s, however, also saw ongoing battles </w:t>
      </w:r>
      <w:r w:rsidR="00160848" w:rsidRPr="004451F9">
        <w:rPr>
          <w:rFonts w:cs="Times New Roman"/>
          <w:sz w:val="24"/>
          <w:szCs w:val="24"/>
        </w:rPr>
        <w:lastRenderedPageBreak/>
        <w:t>between the British army and tribes on frontier lands.</w:t>
      </w:r>
      <w:r w:rsidR="00A96CF5">
        <w:rPr>
          <w:rStyle w:val="FootnoteReference"/>
          <w:rFonts w:cs="Times New Roman"/>
          <w:sz w:val="24"/>
          <w:szCs w:val="24"/>
        </w:rPr>
        <w:footnoteReference w:id="213"/>
      </w:r>
      <w:r w:rsidR="00160848" w:rsidRPr="004451F9">
        <w:rPr>
          <w:rFonts w:cs="Times New Roman"/>
          <w:sz w:val="24"/>
          <w:szCs w:val="24"/>
        </w:rPr>
        <w:t xml:space="preserve"> Fed up with this and the British political reforms spurred by the missionaries, the colony's Dutch-speaking inhabitants, by then known as Afrikaner, began what was called the Great Trek, a northward movement of settlers seeking farmland.</w:t>
      </w:r>
      <w:r w:rsidR="00A96CF5">
        <w:rPr>
          <w:rStyle w:val="FootnoteReference"/>
          <w:rFonts w:cs="Times New Roman"/>
          <w:sz w:val="24"/>
          <w:szCs w:val="24"/>
        </w:rPr>
        <w:footnoteReference w:id="214"/>
      </w:r>
      <w:r w:rsidR="00160848" w:rsidRPr="004451F9">
        <w:rPr>
          <w:rFonts w:cs="Times New Roman"/>
          <w:sz w:val="24"/>
          <w:szCs w:val="24"/>
        </w:rPr>
        <w:t xml:space="preserve"> "Its result was a massive increase in the extent of that proportion of modern South Africa dominated by p</w:t>
      </w:r>
      <w:r w:rsidR="00A96CF5">
        <w:rPr>
          <w:rFonts w:cs="Times New Roman"/>
          <w:sz w:val="24"/>
          <w:szCs w:val="24"/>
        </w:rPr>
        <w:t>eople of European descent."</w:t>
      </w:r>
      <w:r w:rsidR="00A96CF5">
        <w:rPr>
          <w:rStyle w:val="FootnoteReference"/>
          <w:rFonts w:cs="Times New Roman"/>
          <w:sz w:val="24"/>
          <w:szCs w:val="24"/>
        </w:rPr>
        <w:footnoteReference w:id="215"/>
      </w:r>
      <w:r w:rsidR="00160848" w:rsidRPr="004451F9">
        <w:rPr>
          <w:rFonts w:cs="Times New Roman"/>
          <w:sz w:val="24"/>
          <w:szCs w:val="24"/>
        </w:rPr>
        <w:t xml:space="preserve"> These Voortrekkers, or Trekkers, came into conflict with the Zulu nation but eventually became t</w:t>
      </w:r>
      <w:r w:rsidR="00A96CF5">
        <w:rPr>
          <w:rFonts w:cs="Times New Roman"/>
          <w:sz w:val="24"/>
          <w:szCs w:val="24"/>
        </w:rPr>
        <w:t xml:space="preserve">he dominant force in the area – </w:t>
      </w:r>
      <w:r w:rsidR="00160848" w:rsidRPr="004451F9">
        <w:rPr>
          <w:rFonts w:cs="Times New Roman"/>
          <w:sz w:val="24"/>
          <w:szCs w:val="24"/>
        </w:rPr>
        <w:t>until, that is, the British decided to annex the area that the Trekkers had settled.</w:t>
      </w:r>
      <w:r w:rsidR="00A96CF5">
        <w:rPr>
          <w:rStyle w:val="FootnoteReference"/>
          <w:rFonts w:cs="Times New Roman"/>
          <w:sz w:val="24"/>
          <w:szCs w:val="24"/>
        </w:rPr>
        <w:footnoteReference w:id="216"/>
      </w:r>
    </w:p>
    <w:p w:rsidR="0064473A" w:rsidRDefault="00160848" w:rsidP="00B35AC7">
      <w:pPr>
        <w:spacing w:after="0" w:line="480" w:lineRule="auto"/>
        <w:ind w:firstLine="720"/>
        <w:rPr>
          <w:rFonts w:cs="Times New Roman"/>
          <w:sz w:val="24"/>
          <w:szCs w:val="24"/>
        </w:rPr>
      </w:pPr>
      <w:r w:rsidRPr="004451F9">
        <w:rPr>
          <w:rFonts w:cs="Times New Roman"/>
          <w:sz w:val="24"/>
          <w:szCs w:val="24"/>
        </w:rPr>
        <w:t>The Dutch were not happy about the British decision to annex lands that the Dutch had settled largely to get away from British rule.</w:t>
      </w:r>
      <w:r w:rsidR="00A96CF5">
        <w:rPr>
          <w:rStyle w:val="FootnoteReference"/>
          <w:rFonts w:cs="Times New Roman"/>
          <w:sz w:val="24"/>
          <w:szCs w:val="24"/>
        </w:rPr>
        <w:footnoteReference w:id="217"/>
      </w:r>
      <w:r w:rsidRPr="004451F9">
        <w:rPr>
          <w:rFonts w:cs="Times New Roman"/>
          <w:sz w:val="24"/>
          <w:szCs w:val="24"/>
        </w:rPr>
        <w:t xml:space="preserve"> Some Trekkers remained beyond British reach in the north, and other Dutch eventually made "the tacit decision ... to avoid stressing their nationality, on the reasonable assumption that they would dominate any parliament introduced into the colony."</w:t>
      </w:r>
      <w:r w:rsidR="0064473A">
        <w:rPr>
          <w:rStyle w:val="FootnoteReference"/>
          <w:rFonts w:cs="Times New Roman"/>
          <w:sz w:val="24"/>
          <w:szCs w:val="24"/>
        </w:rPr>
        <w:footnoteReference w:id="218"/>
      </w:r>
      <w:r w:rsidRPr="004451F9">
        <w:rPr>
          <w:rFonts w:cs="Times New Roman"/>
          <w:sz w:val="24"/>
          <w:szCs w:val="24"/>
        </w:rPr>
        <w:t xml:space="preserve"> The British introduced a legislative body to the Cape Colony in 1848, and based the right to vote on males' ownership of land worth at least </w:t>
      </w:r>
      <w:r w:rsidR="002A5BF2" w:rsidRPr="004451F9">
        <w:rPr>
          <w:rFonts w:cs="Times New Roman"/>
          <w:sz w:val="24"/>
          <w:szCs w:val="24"/>
        </w:rPr>
        <w:t>£</w:t>
      </w:r>
      <w:r w:rsidRPr="004451F9">
        <w:rPr>
          <w:rFonts w:cs="Times New Roman"/>
          <w:sz w:val="24"/>
          <w:szCs w:val="24"/>
        </w:rPr>
        <w:t>25.</w:t>
      </w:r>
      <w:r w:rsidR="0064473A">
        <w:rPr>
          <w:rStyle w:val="FootnoteReference"/>
          <w:rFonts w:cs="Times New Roman"/>
          <w:sz w:val="24"/>
          <w:szCs w:val="24"/>
        </w:rPr>
        <w:footnoteReference w:id="219"/>
      </w:r>
    </w:p>
    <w:p w:rsidR="00160848" w:rsidRDefault="00160848" w:rsidP="0064473A">
      <w:pPr>
        <w:spacing w:after="0" w:line="240" w:lineRule="auto"/>
        <w:ind w:left="720" w:right="720"/>
        <w:rPr>
          <w:rFonts w:cs="Times New Roman"/>
          <w:sz w:val="24"/>
          <w:szCs w:val="24"/>
        </w:rPr>
      </w:pPr>
      <w:r w:rsidRPr="004451F9">
        <w:rPr>
          <w:rFonts w:cs="Times New Roman"/>
          <w:sz w:val="24"/>
          <w:szCs w:val="24"/>
        </w:rPr>
        <w:t>[I]t gave the Cape one of the most 'democratic' constitutions in the world at the time, one whereby most Dutch men, and a fair number of 'coloureds' as the ex-slaves and Khoisan were beginning to be called, could vote. At no stage in the sixty-six-year history of the Cape Parliament, however, was a coloured man elected, in part because a man with the prestige to be elected was no longer considered coloured. (Both the country's first baronet, Andries Stockenstrom, and its first member of the British House of Lords, J.H. de Villiers, f</w:t>
      </w:r>
      <w:r w:rsidR="0064473A">
        <w:rPr>
          <w:rFonts w:cs="Times New Roman"/>
          <w:sz w:val="24"/>
          <w:szCs w:val="24"/>
        </w:rPr>
        <w:t>ell in to this category.)</w:t>
      </w:r>
      <w:r w:rsidR="0064473A">
        <w:rPr>
          <w:rStyle w:val="FootnoteReference"/>
          <w:rFonts w:cs="Times New Roman"/>
          <w:sz w:val="24"/>
          <w:szCs w:val="24"/>
        </w:rPr>
        <w:footnoteReference w:id="220"/>
      </w:r>
    </w:p>
    <w:p w:rsidR="0064473A" w:rsidRPr="004451F9" w:rsidRDefault="0064473A" w:rsidP="0064473A">
      <w:pPr>
        <w:spacing w:after="0" w:line="240" w:lineRule="auto"/>
        <w:ind w:left="720" w:right="720"/>
        <w:rPr>
          <w:rFonts w:cs="Times New Roman"/>
          <w:sz w:val="24"/>
          <w:szCs w:val="24"/>
        </w:rPr>
      </w:pPr>
    </w:p>
    <w:p w:rsidR="00160848" w:rsidRPr="004451F9" w:rsidRDefault="00160848" w:rsidP="00B35AC7">
      <w:pPr>
        <w:spacing w:after="0" w:line="480" w:lineRule="auto"/>
        <w:ind w:firstLine="720"/>
        <w:rPr>
          <w:rFonts w:cs="Times New Roman"/>
          <w:sz w:val="24"/>
          <w:szCs w:val="24"/>
        </w:rPr>
      </w:pPr>
      <w:r w:rsidRPr="004451F9">
        <w:rPr>
          <w:rFonts w:cs="Times New Roman"/>
          <w:sz w:val="24"/>
          <w:szCs w:val="24"/>
        </w:rPr>
        <w:lastRenderedPageBreak/>
        <w:t>Clashes between the British army and African tribes and between settlers and African tribes continued, sometimes resulting the British granting substantial autonomy to certain regions while rigging control to European descendants.</w:t>
      </w:r>
      <w:r w:rsidR="0064473A">
        <w:rPr>
          <w:rStyle w:val="FootnoteReference"/>
          <w:rFonts w:cs="Times New Roman"/>
          <w:sz w:val="24"/>
          <w:szCs w:val="24"/>
        </w:rPr>
        <w:footnoteReference w:id="221"/>
      </w:r>
      <w:r w:rsidRPr="004451F9">
        <w:rPr>
          <w:rFonts w:cs="Times New Roman"/>
          <w:sz w:val="24"/>
          <w:szCs w:val="24"/>
        </w:rPr>
        <w:t xml:space="preserve"> In other cases they brought tribes with their social structures in tact under the arm of colonial rule.</w:t>
      </w:r>
      <w:r w:rsidR="0064473A">
        <w:rPr>
          <w:rStyle w:val="FootnoteReference"/>
          <w:rFonts w:cs="Times New Roman"/>
          <w:sz w:val="24"/>
          <w:szCs w:val="24"/>
        </w:rPr>
        <w:footnoteReference w:id="222"/>
      </w:r>
      <w:r w:rsidRPr="004451F9">
        <w:rPr>
          <w:rFonts w:cs="Times New Roman"/>
          <w:sz w:val="24"/>
          <w:szCs w:val="24"/>
        </w:rPr>
        <w:t xml:space="preserve"> Still, the amaXhosa tried in vain but valiantly to fight back against the British.</w:t>
      </w:r>
      <w:r w:rsidR="0064473A">
        <w:rPr>
          <w:rStyle w:val="FootnoteReference"/>
          <w:rFonts w:cs="Times New Roman"/>
          <w:sz w:val="24"/>
          <w:szCs w:val="24"/>
        </w:rPr>
        <w:footnoteReference w:id="223"/>
      </w:r>
      <w:r w:rsidRPr="004451F9">
        <w:rPr>
          <w:rFonts w:cs="Times New Roman"/>
          <w:sz w:val="24"/>
          <w:szCs w:val="24"/>
        </w:rPr>
        <w:t xml:space="preserve"> Until, that is, they destroyed ninety percent of their crops and livestock upon a vision by a young girl which was though</w:t>
      </w:r>
      <w:r w:rsidR="00390670" w:rsidRPr="004451F9">
        <w:rPr>
          <w:rFonts w:cs="Times New Roman"/>
          <w:sz w:val="24"/>
          <w:szCs w:val="24"/>
        </w:rPr>
        <w:t>t</w:t>
      </w:r>
      <w:r w:rsidRPr="004451F9">
        <w:rPr>
          <w:rFonts w:cs="Times New Roman"/>
          <w:sz w:val="24"/>
          <w:szCs w:val="24"/>
        </w:rPr>
        <w:t xml:space="preserve"> to bring their rebirth.</w:t>
      </w:r>
      <w:r w:rsidR="0064473A">
        <w:rPr>
          <w:rStyle w:val="FootnoteReference"/>
          <w:rFonts w:cs="Times New Roman"/>
          <w:sz w:val="24"/>
          <w:szCs w:val="24"/>
        </w:rPr>
        <w:footnoteReference w:id="224"/>
      </w:r>
      <w:r w:rsidRPr="004451F9">
        <w:rPr>
          <w:rFonts w:cs="Times New Roman"/>
          <w:sz w:val="24"/>
          <w:szCs w:val="24"/>
        </w:rPr>
        <w:t xml:space="preserve"> It led instead to their near decimation, and the Xhosa became the second African society after the Khoi </w:t>
      </w:r>
      <w:r w:rsidR="0064473A">
        <w:rPr>
          <w:rFonts w:cs="Times New Roman"/>
          <w:sz w:val="24"/>
          <w:szCs w:val="24"/>
        </w:rPr>
        <w:t>to fall to imperialists.</w:t>
      </w:r>
      <w:r w:rsidR="0064473A">
        <w:rPr>
          <w:rStyle w:val="FootnoteReference"/>
          <w:rFonts w:cs="Times New Roman"/>
          <w:sz w:val="24"/>
          <w:szCs w:val="24"/>
        </w:rPr>
        <w:footnoteReference w:id="225"/>
      </w:r>
    </w:p>
    <w:p w:rsidR="00CB199A" w:rsidRDefault="0064473A" w:rsidP="00CB199A">
      <w:pPr>
        <w:spacing w:after="0" w:line="480" w:lineRule="auto"/>
        <w:ind w:firstLine="720"/>
        <w:rPr>
          <w:rFonts w:cs="Times New Roman"/>
          <w:sz w:val="24"/>
          <w:szCs w:val="24"/>
        </w:rPr>
      </w:pPr>
      <w:r>
        <w:rPr>
          <w:rFonts w:cs="Times New Roman"/>
          <w:sz w:val="24"/>
          <w:szCs w:val="24"/>
        </w:rPr>
        <w:t>Diamonds</w:t>
      </w:r>
      <w:r w:rsidR="00160848" w:rsidRPr="004451F9">
        <w:rPr>
          <w:rFonts w:cs="Times New Roman"/>
          <w:sz w:val="24"/>
          <w:szCs w:val="24"/>
        </w:rPr>
        <w:t xml:space="preserve"> were found in South Africa in 1867, </w:t>
      </w:r>
      <w:r>
        <w:rPr>
          <w:rFonts w:cs="Times New Roman"/>
          <w:sz w:val="24"/>
          <w:szCs w:val="24"/>
        </w:rPr>
        <w:t xml:space="preserve">and, thereafter, </w:t>
      </w:r>
      <w:r w:rsidR="00160848" w:rsidRPr="004451F9">
        <w:rPr>
          <w:rFonts w:cs="Times New Roman"/>
          <w:sz w:val="24"/>
          <w:szCs w:val="24"/>
        </w:rPr>
        <w:t>"mining, and the industry associated with it, would always be at the centre of South African economic, social and political life."</w:t>
      </w:r>
      <w:r>
        <w:rPr>
          <w:rStyle w:val="FootnoteReference"/>
          <w:rFonts w:cs="Times New Roman"/>
          <w:sz w:val="24"/>
          <w:szCs w:val="24"/>
        </w:rPr>
        <w:footnoteReference w:id="226"/>
      </w:r>
      <w:r>
        <w:rPr>
          <w:rFonts w:cs="Times New Roman"/>
          <w:sz w:val="24"/>
          <w:szCs w:val="24"/>
        </w:rPr>
        <w:t xml:space="preserve"> </w:t>
      </w:r>
      <w:r w:rsidR="00160848" w:rsidRPr="004451F9">
        <w:rPr>
          <w:rFonts w:cs="Times New Roman"/>
          <w:sz w:val="24"/>
          <w:szCs w:val="24"/>
        </w:rPr>
        <w:t>The explosion of the diamond trade brought an influx</w:t>
      </w:r>
      <w:r>
        <w:rPr>
          <w:rFonts w:cs="Times New Roman"/>
          <w:sz w:val="24"/>
          <w:szCs w:val="24"/>
        </w:rPr>
        <w:t xml:space="preserve"> of black South African workers, and d</w:t>
      </w:r>
      <w:r w:rsidR="00160848" w:rsidRPr="004451F9">
        <w:rPr>
          <w:rFonts w:cs="Times New Roman"/>
          <w:sz w:val="24"/>
          <w:szCs w:val="24"/>
        </w:rPr>
        <w:t>isputes in which mineowners alleged dampened profits caused by theft from their workers led to the establishment of labor compounds to house workers.</w:t>
      </w:r>
      <w:r>
        <w:rPr>
          <w:rStyle w:val="FootnoteReference"/>
          <w:rFonts w:cs="Times New Roman"/>
          <w:sz w:val="24"/>
          <w:szCs w:val="24"/>
        </w:rPr>
        <w:footnoteReference w:id="227"/>
      </w:r>
      <w:r w:rsidR="00160848" w:rsidRPr="004451F9">
        <w:rPr>
          <w:rFonts w:cs="Times New Roman"/>
          <w:sz w:val="24"/>
          <w:szCs w:val="24"/>
        </w:rPr>
        <w:t xml:space="preserve"> Mineowners were not politically able to force their white workers to also live in the labor compounds, and "[t]hus developed two characteristic features of South African society, namely the racial bifurcation of the industrial labor force and the housing of at least black mig</w:t>
      </w:r>
      <w:r>
        <w:rPr>
          <w:rFonts w:cs="Times New Roman"/>
          <w:sz w:val="24"/>
          <w:szCs w:val="24"/>
        </w:rPr>
        <w:t>rant workers in compounds."</w:t>
      </w:r>
      <w:r>
        <w:rPr>
          <w:rStyle w:val="FootnoteReference"/>
          <w:rFonts w:cs="Times New Roman"/>
          <w:sz w:val="24"/>
          <w:szCs w:val="24"/>
        </w:rPr>
        <w:footnoteReference w:id="228"/>
      </w:r>
      <w:r w:rsidR="00CB199A">
        <w:rPr>
          <w:rFonts w:cs="Times New Roman"/>
          <w:sz w:val="24"/>
          <w:szCs w:val="24"/>
        </w:rPr>
        <w:t xml:space="preserve"> </w:t>
      </w:r>
      <w:r w:rsidR="00160848" w:rsidRPr="004451F9">
        <w:rPr>
          <w:rFonts w:cs="Times New Roman"/>
          <w:sz w:val="24"/>
          <w:szCs w:val="24"/>
        </w:rPr>
        <w:lastRenderedPageBreak/>
        <w:t>With workers flocking to diamond mines, Indian immigrants were brought in to work sugar plantations mostly as indentured servants.</w:t>
      </w:r>
      <w:r>
        <w:rPr>
          <w:rStyle w:val="FootnoteReference"/>
          <w:rFonts w:cs="Times New Roman"/>
          <w:sz w:val="24"/>
          <w:szCs w:val="24"/>
        </w:rPr>
        <w:footnoteReference w:id="229"/>
      </w:r>
    </w:p>
    <w:p w:rsidR="00160848" w:rsidRDefault="00CB199A" w:rsidP="00CB199A">
      <w:pPr>
        <w:spacing w:after="0" w:line="240" w:lineRule="auto"/>
        <w:ind w:left="720" w:right="720"/>
        <w:rPr>
          <w:rFonts w:cs="Times New Roman"/>
          <w:sz w:val="24"/>
          <w:szCs w:val="24"/>
        </w:rPr>
      </w:pPr>
      <w:r>
        <w:rPr>
          <w:rFonts w:cs="Times New Roman"/>
          <w:sz w:val="24"/>
          <w:szCs w:val="24"/>
        </w:rPr>
        <w:t>I</w:t>
      </w:r>
      <w:r w:rsidR="00160848" w:rsidRPr="004451F9">
        <w:rPr>
          <w:rFonts w:cs="Times New Roman"/>
          <w:sz w:val="24"/>
          <w:szCs w:val="24"/>
        </w:rPr>
        <w:t>n some ways, they recreated the divisions of the Indian sub-contine</w:t>
      </w:r>
      <w:r w:rsidR="0064473A">
        <w:rPr>
          <w:rFonts w:cs="Times New Roman"/>
          <w:sz w:val="24"/>
          <w:szCs w:val="24"/>
        </w:rPr>
        <w:t>nt on the African one[,</w:t>
      </w:r>
      <w:r>
        <w:rPr>
          <w:rFonts w:cs="Times New Roman"/>
          <w:sz w:val="24"/>
          <w:szCs w:val="24"/>
        </w:rPr>
        <w:t xml:space="preserve"> but</w:t>
      </w:r>
      <w:r w:rsidR="0064473A">
        <w:rPr>
          <w:rFonts w:cs="Times New Roman"/>
          <w:sz w:val="24"/>
          <w:szCs w:val="24"/>
        </w:rPr>
        <w:t xml:space="preserve">] … </w:t>
      </w:r>
      <w:r w:rsidR="00160848" w:rsidRPr="004451F9">
        <w:rPr>
          <w:rFonts w:cs="Times New Roman"/>
          <w:sz w:val="24"/>
          <w:szCs w:val="24"/>
        </w:rPr>
        <w:t>they were treated as a single entity by the whites, unaware of or unconcerned with the distinctions of Indian society. Indian political activism generally attempted to maintain this illusion, as a basis for strength and a following, while at the same time using the illusion of representativeness to promote a particular position within the Indian</w:t>
      </w:r>
      <w:r>
        <w:rPr>
          <w:rFonts w:cs="Times New Roman"/>
          <w:sz w:val="24"/>
          <w:szCs w:val="24"/>
        </w:rPr>
        <w:t xml:space="preserve"> community.</w:t>
      </w:r>
      <w:r>
        <w:rPr>
          <w:rStyle w:val="FootnoteReference"/>
          <w:rFonts w:cs="Times New Roman"/>
          <w:sz w:val="24"/>
          <w:szCs w:val="24"/>
        </w:rPr>
        <w:footnoteReference w:id="230"/>
      </w:r>
    </w:p>
    <w:p w:rsidR="00187EE2" w:rsidRDefault="00187EE2" w:rsidP="00CB199A">
      <w:pPr>
        <w:spacing w:after="0" w:line="240" w:lineRule="auto"/>
        <w:ind w:left="720" w:right="720"/>
        <w:rPr>
          <w:rFonts w:cs="Times New Roman"/>
          <w:sz w:val="24"/>
          <w:szCs w:val="24"/>
        </w:rPr>
      </w:pPr>
    </w:p>
    <w:p w:rsidR="00160848" w:rsidRPr="00CB199A" w:rsidRDefault="00160848" w:rsidP="00187EE2">
      <w:pPr>
        <w:spacing w:after="0" w:line="480" w:lineRule="auto"/>
        <w:rPr>
          <w:rFonts w:cs="Times New Roman"/>
          <w:i/>
          <w:sz w:val="24"/>
          <w:szCs w:val="24"/>
        </w:rPr>
      </w:pPr>
      <w:r w:rsidRPr="004451F9">
        <w:rPr>
          <w:rFonts w:cs="Times New Roman"/>
          <w:sz w:val="24"/>
          <w:szCs w:val="24"/>
        </w:rPr>
        <w:t xml:space="preserve">The discovery of gold in South Africa in the 1880s brought more influx of labor, including experienced miners from Britain, and further </w:t>
      </w:r>
      <w:r w:rsidR="00CB199A">
        <w:rPr>
          <w:rFonts w:cs="Times New Roman"/>
          <w:sz w:val="24"/>
          <w:szCs w:val="24"/>
        </w:rPr>
        <w:t>oppression</w:t>
      </w:r>
      <w:r w:rsidRPr="004451F9">
        <w:rPr>
          <w:rFonts w:cs="Times New Roman"/>
          <w:sz w:val="24"/>
          <w:szCs w:val="24"/>
        </w:rPr>
        <w:t xml:space="preserve"> of black laborers.</w:t>
      </w:r>
      <w:r w:rsidR="00CB199A">
        <w:rPr>
          <w:rStyle w:val="FootnoteReference"/>
          <w:rFonts w:cs="Times New Roman"/>
          <w:sz w:val="24"/>
          <w:szCs w:val="24"/>
        </w:rPr>
        <w:footnoteReference w:id="231"/>
      </w:r>
      <w:r w:rsidRPr="004451F9">
        <w:rPr>
          <w:rFonts w:cs="Times New Roman"/>
          <w:sz w:val="24"/>
          <w:szCs w:val="24"/>
        </w:rPr>
        <w:t xml:space="preserve"> The annihilation of about ninety percent of the region's cattle by disease in the following decade further disrupted the black South African's cattle-trading-based societies, causing social unrest prime for subjugation.</w:t>
      </w:r>
      <w:r w:rsidR="00CB199A">
        <w:rPr>
          <w:rStyle w:val="FootnoteReference"/>
          <w:rFonts w:cs="Times New Roman"/>
          <w:sz w:val="24"/>
          <w:szCs w:val="24"/>
        </w:rPr>
        <w:footnoteReference w:id="232"/>
      </w:r>
      <w:r w:rsidR="00CB199A">
        <w:rPr>
          <w:rFonts w:cs="Times New Roman"/>
          <w:sz w:val="24"/>
          <w:szCs w:val="24"/>
        </w:rPr>
        <w:t xml:space="preserve"> </w:t>
      </w:r>
      <w:r w:rsidR="00CB199A" w:rsidRPr="004451F9">
        <w:rPr>
          <w:rFonts w:cs="Times New Roman"/>
          <w:sz w:val="24"/>
          <w:szCs w:val="24"/>
        </w:rPr>
        <w:t>Both the British and Afrikaner populations were oppressive toward black Africans, and "[b]y the time of the union in 1910, the foundations for the violent, destructive policies that were to become apartheid had all been laid."</w:t>
      </w:r>
      <w:r w:rsidR="00CB199A" w:rsidRPr="004451F9">
        <w:rPr>
          <w:rStyle w:val="FootnoteReference"/>
          <w:rFonts w:cs="Times New Roman"/>
          <w:sz w:val="24"/>
          <w:szCs w:val="24"/>
        </w:rPr>
        <w:footnoteReference w:id="233"/>
      </w:r>
    </w:p>
    <w:p w:rsidR="00CF4EE0" w:rsidRDefault="007021DF" w:rsidP="00CB199A">
      <w:pPr>
        <w:spacing w:after="0" w:line="480" w:lineRule="auto"/>
        <w:ind w:firstLine="720"/>
        <w:rPr>
          <w:rFonts w:cs="Times New Roman"/>
          <w:sz w:val="24"/>
          <w:szCs w:val="24"/>
        </w:rPr>
      </w:pPr>
      <w:r w:rsidRPr="004451F9">
        <w:rPr>
          <w:rFonts w:cs="Times New Roman"/>
          <w:sz w:val="24"/>
          <w:szCs w:val="24"/>
        </w:rPr>
        <w:t>After the Great Trek by the Afrikaner population and the subsequent conflicts, "white South Africa was essentially divided into two British colonies, Cape and Natal, and two Afrikaner-led republics, Transvaa</w:t>
      </w:r>
      <w:r w:rsidR="00CB199A">
        <w:rPr>
          <w:rFonts w:cs="Times New Roman"/>
          <w:sz w:val="24"/>
          <w:szCs w:val="24"/>
        </w:rPr>
        <w:t>l and the Orange Free State."</w:t>
      </w:r>
      <w:r w:rsidR="00CB199A">
        <w:rPr>
          <w:rStyle w:val="FootnoteReference"/>
          <w:rFonts w:cs="Times New Roman"/>
          <w:sz w:val="24"/>
          <w:szCs w:val="24"/>
        </w:rPr>
        <w:footnoteReference w:id="234"/>
      </w:r>
      <w:r w:rsidRPr="004451F9">
        <w:rPr>
          <w:rFonts w:cs="Times New Roman"/>
          <w:sz w:val="24"/>
          <w:szCs w:val="24"/>
        </w:rPr>
        <w:t xml:space="preserve"> Once diamonds were discovered in the Transvaal, the British attempt to annex the other regions led to the four-year-long Anglo-Boer War, which the British ultimately won through brutal violence.</w:t>
      </w:r>
      <w:r w:rsidR="00CB199A">
        <w:rPr>
          <w:rStyle w:val="FootnoteReference"/>
          <w:rFonts w:cs="Times New Roman"/>
          <w:sz w:val="24"/>
          <w:szCs w:val="24"/>
        </w:rPr>
        <w:footnoteReference w:id="235"/>
      </w:r>
      <w:r w:rsidR="00CB199A">
        <w:rPr>
          <w:rFonts w:cs="Times New Roman"/>
          <w:sz w:val="24"/>
          <w:szCs w:val="24"/>
        </w:rPr>
        <w:t xml:space="preserve"> This created</w:t>
      </w:r>
      <w:r w:rsidRPr="004451F9">
        <w:rPr>
          <w:rFonts w:cs="Times New Roman"/>
          <w:sz w:val="24"/>
          <w:szCs w:val="24"/>
        </w:rPr>
        <w:t xml:space="preserve"> lasting animosity between the Afrikaners and the British, and also to "the formation of the Union </w:t>
      </w:r>
      <w:r w:rsidRPr="004451F9">
        <w:rPr>
          <w:rFonts w:cs="Times New Roman"/>
          <w:sz w:val="24"/>
          <w:szCs w:val="24"/>
        </w:rPr>
        <w:lastRenderedPageBreak/>
        <w:t>of South Africa in 1910--which joined the Cape colony, Natal, Transvaal, and Orange Free State into a single, self</w:t>
      </w:r>
      <w:r w:rsidR="00CB199A">
        <w:rPr>
          <w:rFonts w:cs="Times New Roman"/>
          <w:sz w:val="24"/>
          <w:szCs w:val="24"/>
        </w:rPr>
        <w:t>-governing political entity</w:t>
      </w:r>
      <w:r w:rsidRPr="004451F9">
        <w:rPr>
          <w:rFonts w:cs="Times New Roman"/>
          <w:sz w:val="24"/>
          <w:szCs w:val="24"/>
        </w:rPr>
        <w:t>."</w:t>
      </w:r>
      <w:r w:rsidR="00CB199A">
        <w:rPr>
          <w:rStyle w:val="FootnoteReference"/>
          <w:rFonts w:cs="Times New Roman"/>
          <w:sz w:val="24"/>
          <w:szCs w:val="24"/>
        </w:rPr>
        <w:footnoteReference w:id="236"/>
      </w:r>
      <w:r w:rsidR="00CB199A">
        <w:rPr>
          <w:rFonts w:cs="Times New Roman"/>
          <w:sz w:val="24"/>
          <w:szCs w:val="24"/>
        </w:rPr>
        <w:t xml:space="preserve"> </w:t>
      </w:r>
      <w:r w:rsidR="00CF4EE0" w:rsidRPr="004451F9">
        <w:rPr>
          <w:rFonts w:cs="Times New Roman"/>
          <w:sz w:val="24"/>
          <w:szCs w:val="24"/>
        </w:rPr>
        <w:t>After the union was formed, power alternated between Afrikaner- and British-influenced parties, with the British mostly dominating until the Afrikaner-dominated National Party</w:t>
      </w:r>
      <w:r w:rsidR="005B6E14">
        <w:rPr>
          <w:rFonts w:cs="Times New Roman"/>
          <w:sz w:val="24"/>
          <w:szCs w:val="24"/>
        </w:rPr>
        <w:t xml:space="preserve"> (NP)</w:t>
      </w:r>
      <w:r w:rsidR="00CF4EE0" w:rsidRPr="004451F9">
        <w:rPr>
          <w:rFonts w:cs="Times New Roman"/>
          <w:sz w:val="24"/>
          <w:szCs w:val="24"/>
        </w:rPr>
        <w:t xml:space="preserve"> won elections in 1948</w:t>
      </w:r>
      <w:r w:rsidR="00187EE2">
        <w:rPr>
          <w:rFonts w:cs="Times New Roman"/>
          <w:sz w:val="24"/>
          <w:szCs w:val="24"/>
        </w:rPr>
        <w:t xml:space="preserve"> on the platform of apartheid – </w:t>
      </w:r>
      <w:r w:rsidR="00CF4EE0" w:rsidRPr="004451F9">
        <w:rPr>
          <w:rFonts w:cs="Times New Roman"/>
          <w:sz w:val="24"/>
          <w:szCs w:val="24"/>
        </w:rPr>
        <w:t>"the first time a non-British-influenced party gained control over the South African state</w:t>
      </w:r>
      <w:r w:rsidR="00187EE2">
        <w:rPr>
          <w:rFonts w:cs="Times New Roman"/>
          <w:sz w:val="24"/>
          <w:szCs w:val="24"/>
        </w:rPr>
        <w:t>."</w:t>
      </w:r>
      <w:r w:rsidR="00CF4EE0" w:rsidRPr="004451F9">
        <w:rPr>
          <w:rStyle w:val="FootnoteReference"/>
          <w:rFonts w:cs="Times New Roman"/>
          <w:sz w:val="24"/>
          <w:szCs w:val="24"/>
        </w:rPr>
        <w:footnoteReference w:id="237"/>
      </w:r>
      <w:r w:rsidR="00CF4EE0" w:rsidRPr="004451F9">
        <w:rPr>
          <w:rFonts w:cs="Times New Roman"/>
          <w:sz w:val="24"/>
          <w:szCs w:val="24"/>
        </w:rPr>
        <w:t xml:space="preserve"> The </w:t>
      </w:r>
      <w:r w:rsidR="005B6E14">
        <w:rPr>
          <w:rFonts w:cs="Times New Roman"/>
          <w:sz w:val="24"/>
          <w:szCs w:val="24"/>
        </w:rPr>
        <w:t>NP</w:t>
      </w:r>
      <w:r w:rsidR="00CF4EE0" w:rsidRPr="004451F9">
        <w:rPr>
          <w:rFonts w:cs="Times New Roman"/>
          <w:sz w:val="24"/>
          <w:szCs w:val="24"/>
        </w:rPr>
        <w:t xml:space="preserve"> maintained control for more than four decades.</w:t>
      </w:r>
      <w:r w:rsidR="00CF4EE0" w:rsidRPr="004451F9">
        <w:rPr>
          <w:rStyle w:val="FootnoteReference"/>
          <w:rFonts w:cs="Times New Roman"/>
          <w:sz w:val="24"/>
          <w:szCs w:val="24"/>
        </w:rPr>
        <w:footnoteReference w:id="238"/>
      </w:r>
      <w:r w:rsidR="009379DF">
        <w:rPr>
          <w:rFonts w:cs="Times New Roman"/>
          <w:sz w:val="24"/>
          <w:szCs w:val="24"/>
        </w:rPr>
        <w:t xml:space="preserve"> What began as restrictions on land ownership and a relegation to menial labor evolved into laws prohibiting interracial marriages, integrated public facilities, and labor strikes and mandating racial classification.</w:t>
      </w:r>
      <w:r w:rsidR="009379DF">
        <w:rPr>
          <w:rStyle w:val="FootnoteReference"/>
          <w:rFonts w:cs="Times New Roman"/>
          <w:sz w:val="24"/>
          <w:szCs w:val="24"/>
        </w:rPr>
        <w:footnoteReference w:id="239"/>
      </w:r>
    </w:p>
    <w:p w:rsidR="008C7163" w:rsidRDefault="008C7163" w:rsidP="00B35AC7">
      <w:pPr>
        <w:spacing w:after="0" w:line="480" w:lineRule="auto"/>
        <w:ind w:firstLine="720"/>
        <w:rPr>
          <w:rFonts w:cs="Times New Roman"/>
          <w:sz w:val="24"/>
          <w:szCs w:val="24"/>
        </w:rPr>
      </w:pPr>
      <w:r>
        <w:rPr>
          <w:rFonts w:cs="Times New Roman"/>
          <w:sz w:val="24"/>
          <w:szCs w:val="24"/>
        </w:rPr>
        <w:t>T</w:t>
      </w:r>
      <w:r w:rsidRPr="004451F9">
        <w:rPr>
          <w:rFonts w:cs="Times New Roman"/>
          <w:sz w:val="24"/>
          <w:szCs w:val="24"/>
        </w:rPr>
        <w:t>he migrant labor system used throughout southern Africa, spawned from the discovery of diamonds and gold in South Africa by European c</w:t>
      </w:r>
      <w:r>
        <w:rPr>
          <w:rFonts w:cs="Times New Roman"/>
          <w:sz w:val="24"/>
          <w:szCs w:val="24"/>
        </w:rPr>
        <w:t xml:space="preserve">olonists, </w:t>
      </w:r>
      <w:r w:rsidRPr="004451F9">
        <w:rPr>
          <w:rFonts w:cs="Times New Roman"/>
          <w:sz w:val="24"/>
          <w:szCs w:val="24"/>
        </w:rPr>
        <w:t>fostered cross-border interconnectedness among peoples and promoted labor movement organization</w:t>
      </w:r>
      <w:r>
        <w:rPr>
          <w:rFonts w:cs="Times New Roman"/>
          <w:sz w:val="24"/>
          <w:szCs w:val="24"/>
        </w:rPr>
        <w:t>, which would later be harnessed in overturning apartheid</w:t>
      </w:r>
      <w:r w:rsidRPr="004451F9">
        <w:rPr>
          <w:rFonts w:cs="Times New Roman"/>
          <w:sz w:val="24"/>
          <w:szCs w:val="24"/>
        </w:rPr>
        <w:t>.</w:t>
      </w:r>
      <w:r>
        <w:rPr>
          <w:rStyle w:val="FootnoteReference"/>
          <w:rFonts w:cs="Times New Roman"/>
          <w:sz w:val="24"/>
          <w:szCs w:val="24"/>
        </w:rPr>
        <w:footnoteReference w:id="240"/>
      </w:r>
      <w:r w:rsidRPr="004451F9">
        <w:rPr>
          <w:rFonts w:cs="Times New Roman"/>
          <w:sz w:val="24"/>
          <w:szCs w:val="24"/>
        </w:rPr>
        <w:t xml:space="preserve"> </w:t>
      </w:r>
      <w:r>
        <w:rPr>
          <w:rFonts w:cs="Times New Roman"/>
          <w:sz w:val="24"/>
          <w:szCs w:val="24"/>
        </w:rPr>
        <w:t xml:space="preserve">Cross-border </w:t>
      </w:r>
      <w:r w:rsidRPr="004451F9">
        <w:rPr>
          <w:rFonts w:cs="Times New Roman"/>
          <w:sz w:val="24"/>
          <w:szCs w:val="24"/>
        </w:rPr>
        <w:t>connectedness of people in southern Africa</w:t>
      </w:r>
      <w:r>
        <w:rPr>
          <w:rFonts w:cs="Times New Roman"/>
          <w:sz w:val="24"/>
          <w:szCs w:val="24"/>
        </w:rPr>
        <w:t xml:space="preserve"> </w:t>
      </w:r>
      <w:r w:rsidR="009379DF">
        <w:rPr>
          <w:rFonts w:cs="Times New Roman"/>
          <w:sz w:val="24"/>
          <w:szCs w:val="24"/>
        </w:rPr>
        <w:t xml:space="preserve">also </w:t>
      </w:r>
      <w:r>
        <w:rPr>
          <w:rFonts w:cs="Times New Roman"/>
          <w:sz w:val="24"/>
          <w:szCs w:val="24"/>
        </w:rPr>
        <w:t>was cultivated by the arbitrariness of the</w:t>
      </w:r>
      <w:r w:rsidRPr="004451F9">
        <w:rPr>
          <w:rFonts w:cs="Times New Roman"/>
          <w:sz w:val="24"/>
          <w:szCs w:val="24"/>
        </w:rPr>
        <w:t xml:space="preserve"> colonial</w:t>
      </w:r>
      <w:r>
        <w:rPr>
          <w:rFonts w:cs="Times New Roman"/>
          <w:sz w:val="24"/>
          <w:szCs w:val="24"/>
        </w:rPr>
        <w:t>-era</w:t>
      </w:r>
      <w:r w:rsidRPr="004451F9">
        <w:rPr>
          <w:rFonts w:cs="Times New Roman"/>
          <w:sz w:val="24"/>
          <w:szCs w:val="24"/>
        </w:rPr>
        <w:t xml:space="preserve"> boundaries</w:t>
      </w:r>
      <w:r>
        <w:rPr>
          <w:rFonts w:cs="Times New Roman"/>
          <w:sz w:val="24"/>
          <w:szCs w:val="24"/>
        </w:rPr>
        <w:t>, which remain largely unchanged,</w:t>
      </w:r>
      <w:r w:rsidRPr="004451F9">
        <w:rPr>
          <w:rFonts w:cs="Times New Roman"/>
          <w:sz w:val="24"/>
          <w:szCs w:val="24"/>
        </w:rPr>
        <w:t xml:space="preserve"> causing people of the same ethnic group to be dispersed in se</w:t>
      </w:r>
      <w:r>
        <w:rPr>
          <w:rFonts w:cs="Times New Roman"/>
          <w:sz w:val="24"/>
          <w:szCs w:val="24"/>
        </w:rPr>
        <w:t>veral neighboring countries</w:t>
      </w:r>
      <w:r w:rsidRPr="004451F9">
        <w:rPr>
          <w:rFonts w:cs="Times New Roman"/>
          <w:sz w:val="24"/>
          <w:szCs w:val="24"/>
        </w:rPr>
        <w:t>.</w:t>
      </w:r>
      <w:r w:rsidRPr="004451F9">
        <w:rPr>
          <w:rStyle w:val="FootnoteReference"/>
          <w:rFonts w:cs="Times New Roman"/>
          <w:sz w:val="24"/>
          <w:szCs w:val="24"/>
        </w:rPr>
        <w:footnoteReference w:id="241"/>
      </w:r>
      <w:r>
        <w:rPr>
          <w:rFonts w:cs="Times New Roman"/>
          <w:sz w:val="24"/>
          <w:szCs w:val="24"/>
        </w:rPr>
        <w:t xml:space="preserve"> </w:t>
      </w:r>
      <w:r w:rsidR="00B209C9" w:rsidRPr="004451F9">
        <w:rPr>
          <w:rFonts w:cs="Times New Roman"/>
          <w:sz w:val="24"/>
          <w:szCs w:val="24"/>
        </w:rPr>
        <w:t>Surprisingly, although South Africa was under the regime of apartheid, the first university for blacks in southern Africa was founded there, and many black Africans from surrounding countries, with no opportunities for higher education in their own countries, went to South Afri</w:t>
      </w:r>
      <w:r w:rsidR="00B209C9">
        <w:rPr>
          <w:rFonts w:cs="Times New Roman"/>
          <w:sz w:val="24"/>
          <w:szCs w:val="24"/>
        </w:rPr>
        <w:t xml:space="preserve">ca to attend universities, creating another </w:t>
      </w:r>
      <w:r w:rsidR="00B209C9" w:rsidRPr="004451F9">
        <w:rPr>
          <w:rFonts w:cs="Times New Roman"/>
          <w:sz w:val="24"/>
          <w:szCs w:val="24"/>
        </w:rPr>
        <w:t xml:space="preserve">seedling for </w:t>
      </w:r>
      <w:r w:rsidR="00B209C9">
        <w:rPr>
          <w:rFonts w:cs="Times New Roman"/>
          <w:sz w:val="24"/>
          <w:szCs w:val="24"/>
        </w:rPr>
        <w:t xml:space="preserve">cross-border political </w:t>
      </w:r>
      <w:r w:rsidR="00B209C9">
        <w:rPr>
          <w:rFonts w:cs="Times New Roman"/>
          <w:sz w:val="24"/>
          <w:szCs w:val="24"/>
        </w:rPr>
        <w:lastRenderedPageBreak/>
        <w:t>networks.</w:t>
      </w:r>
      <w:r w:rsidR="00B209C9">
        <w:rPr>
          <w:rStyle w:val="FootnoteReference"/>
          <w:rFonts w:cs="Times New Roman"/>
          <w:sz w:val="24"/>
          <w:szCs w:val="24"/>
        </w:rPr>
        <w:footnoteReference w:id="242"/>
      </w:r>
      <w:r w:rsidR="00BF586E">
        <w:rPr>
          <w:rFonts w:cs="Times New Roman"/>
          <w:sz w:val="24"/>
          <w:szCs w:val="24"/>
        </w:rPr>
        <w:t xml:space="preserve"> These networks </w:t>
      </w:r>
      <w:r w:rsidR="00607142">
        <w:rPr>
          <w:rFonts w:cs="Times New Roman"/>
          <w:sz w:val="24"/>
          <w:szCs w:val="24"/>
        </w:rPr>
        <w:t>bore fruit as the Frontline States (FLS), a political group made up of independent countries in the region and "</w:t>
      </w:r>
      <w:r w:rsidR="00607142" w:rsidRPr="00607142">
        <w:rPr>
          <w:rFonts w:cs="Times New Roman"/>
          <w:sz w:val="24"/>
          <w:szCs w:val="24"/>
        </w:rPr>
        <w:t>formed in an effort to isolate apartheid South Africa and bring an end to white minority rule in the country</w:t>
      </w:r>
      <w:r w:rsidR="00607142">
        <w:rPr>
          <w:rFonts w:cs="Times New Roman"/>
          <w:sz w:val="24"/>
          <w:szCs w:val="24"/>
        </w:rPr>
        <w:t>."</w:t>
      </w:r>
      <w:r w:rsidR="00607142">
        <w:rPr>
          <w:rStyle w:val="FootnoteReference"/>
          <w:rFonts w:cs="Times New Roman"/>
          <w:sz w:val="24"/>
          <w:szCs w:val="24"/>
        </w:rPr>
        <w:footnoteReference w:id="243"/>
      </w:r>
    </w:p>
    <w:p w:rsidR="00607142" w:rsidRDefault="00AE38DF" w:rsidP="0005448C">
      <w:pPr>
        <w:spacing w:after="0" w:line="480" w:lineRule="auto"/>
        <w:ind w:firstLine="720"/>
        <w:rPr>
          <w:rFonts w:cs="Times New Roman"/>
          <w:sz w:val="24"/>
          <w:szCs w:val="24"/>
        </w:rPr>
      </w:pPr>
      <w:r>
        <w:rPr>
          <w:rFonts w:cs="Times New Roman"/>
          <w:sz w:val="24"/>
          <w:szCs w:val="24"/>
        </w:rPr>
        <w:t>The African National Congress</w:t>
      </w:r>
      <w:r w:rsidR="005B6E14">
        <w:rPr>
          <w:rFonts w:cs="Times New Roman"/>
          <w:sz w:val="24"/>
          <w:szCs w:val="24"/>
        </w:rPr>
        <w:t xml:space="preserve"> (ANC)</w:t>
      </w:r>
      <w:r>
        <w:rPr>
          <w:rFonts w:cs="Times New Roman"/>
          <w:sz w:val="24"/>
          <w:szCs w:val="24"/>
        </w:rPr>
        <w:t>, dating back to 1912, became the first and the main anti-apartheid vehicle</w:t>
      </w:r>
      <w:r w:rsidR="005B6E14">
        <w:rPr>
          <w:rFonts w:cs="Times New Roman"/>
          <w:sz w:val="24"/>
          <w:szCs w:val="24"/>
        </w:rPr>
        <w:t xml:space="preserve"> within South Africa</w:t>
      </w:r>
      <w:r>
        <w:rPr>
          <w:rFonts w:cs="Times New Roman"/>
          <w:sz w:val="24"/>
          <w:szCs w:val="24"/>
        </w:rPr>
        <w:t>.</w:t>
      </w:r>
      <w:r>
        <w:rPr>
          <w:rStyle w:val="FootnoteReference"/>
          <w:rFonts w:cs="Times New Roman"/>
          <w:sz w:val="24"/>
          <w:szCs w:val="24"/>
        </w:rPr>
        <w:footnoteReference w:id="244"/>
      </w:r>
    </w:p>
    <w:p w:rsidR="007021DF" w:rsidRDefault="00CF4EE0" w:rsidP="00607142">
      <w:pPr>
        <w:spacing w:after="0" w:line="240" w:lineRule="auto"/>
        <w:ind w:left="720" w:right="720"/>
        <w:rPr>
          <w:rFonts w:cs="Times New Roman"/>
          <w:sz w:val="24"/>
          <w:szCs w:val="24"/>
        </w:rPr>
      </w:pPr>
      <w:r w:rsidRPr="004451F9">
        <w:rPr>
          <w:rFonts w:cs="Times New Roman"/>
          <w:sz w:val="24"/>
          <w:szCs w:val="24"/>
        </w:rPr>
        <w:t>It acquired a mass</w:t>
      </w:r>
      <w:r w:rsidR="00D06733" w:rsidRPr="004451F9">
        <w:rPr>
          <w:rFonts w:cs="Times New Roman"/>
          <w:sz w:val="24"/>
          <w:szCs w:val="24"/>
        </w:rPr>
        <w:t xml:space="preserve"> </w:t>
      </w:r>
      <w:r w:rsidRPr="004451F9">
        <w:rPr>
          <w:rFonts w:cs="Times New Roman"/>
          <w:sz w:val="24"/>
          <w:szCs w:val="24"/>
        </w:rPr>
        <w:t>following during the 1950s, a decade of militant campaigning against apartheid. The ANC was officially banned in 1960, and while some of its leaders left South Africa, others re</w:t>
      </w:r>
      <w:r w:rsidR="00D06733" w:rsidRPr="004451F9">
        <w:rPr>
          <w:rFonts w:cs="Times New Roman"/>
          <w:sz w:val="24"/>
          <w:szCs w:val="24"/>
        </w:rPr>
        <w:t xml:space="preserve">mained to mobilize clandestine </w:t>
      </w:r>
      <w:r w:rsidRPr="004451F9">
        <w:rPr>
          <w:rFonts w:cs="Times New Roman"/>
          <w:sz w:val="24"/>
          <w:szCs w:val="24"/>
        </w:rPr>
        <w:t>resistance. In conjunction with the South African Communist Party, to which most of its leaders belonged, the ANC established a military wing in 1961. With its internal leadership imprisoned after 1963, initiative shifted to those in exile. Between 1969 and 1985, the organization</w:t>
      </w:r>
      <w:r w:rsidR="00D06733" w:rsidRPr="004451F9">
        <w:rPr>
          <w:rFonts w:cs="Times New Roman"/>
          <w:sz w:val="24"/>
          <w:szCs w:val="24"/>
        </w:rPr>
        <w:t xml:space="preserve"> </w:t>
      </w:r>
      <w:r w:rsidRPr="004451F9">
        <w:rPr>
          <w:rFonts w:cs="Times New Roman"/>
          <w:sz w:val="24"/>
          <w:szCs w:val="24"/>
        </w:rPr>
        <w:t>opened its ranks to white, colored (accepted South African parlance for those of mixed race), and Indian members.</w:t>
      </w:r>
      <w:r w:rsidR="00D06733" w:rsidRPr="004451F9">
        <w:rPr>
          <w:rStyle w:val="FootnoteReference"/>
          <w:rFonts w:cs="Times New Roman"/>
          <w:sz w:val="24"/>
          <w:szCs w:val="24"/>
        </w:rPr>
        <w:footnoteReference w:id="245"/>
      </w:r>
    </w:p>
    <w:p w:rsidR="00607142" w:rsidRDefault="00607142" w:rsidP="00607142">
      <w:pPr>
        <w:spacing w:after="0" w:line="240" w:lineRule="auto"/>
        <w:ind w:left="720" w:right="720"/>
        <w:rPr>
          <w:rFonts w:cs="Times New Roman"/>
          <w:sz w:val="24"/>
          <w:szCs w:val="24"/>
        </w:rPr>
      </w:pPr>
    </w:p>
    <w:p w:rsidR="00BF586E" w:rsidRDefault="00607142" w:rsidP="00607142">
      <w:pPr>
        <w:spacing w:after="0" w:line="480" w:lineRule="auto"/>
        <w:rPr>
          <w:rFonts w:cs="Times New Roman"/>
          <w:sz w:val="24"/>
          <w:szCs w:val="24"/>
        </w:rPr>
      </w:pPr>
      <w:r>
        <w:rPr>
          <w:rFonts w:cs="Times New Roman"/>
          <w:sz w:val="24"/>
          <w:szCs w:val="24"/>
        </w:rPr>
        <w:t xml:space="preserve">The </w:t>
      </w:r>
      <w:r w:rsidR="005B6E14">
        <w:rPr>
          <w:rFonts w:cs="Times New Roman"/>
          <w:sz w:val="24"/>
          <w:szCs w:val="24"/>
        </w:rPr>
        <w:t>(NP)</w:t>
      </w:r>
      <w:r>
        <w:rPr>
          <w:rFonts w:cs="Times New Roman"/>
          <w:sz w:val="24"/>
          <w:szCs w:val="24"/>
        </w:rPr>
        <w:t xml:space="preserve"> began negotiations with the ANC in 1992, leading to the first free and open elections in 1994,</w:t>
      </w:r>
      <w:r>
        <w:rPr>
          <w:rStyle w:val="FootnoteReference"/>
          <w:rFonts w:cs="Times New Roman"/>
          <w:sz w:val="24"/>
          <w:szCs w:val="24"/>
        </w:rPr>
        <w:footnoteReference w:id="246"/>
      </w:r>
      <w:r>
        <w:rPr>
          <w:rFonts w:cs="Times New Roman"/>
          <w:sz w:val="24"/>
          <w:szCs w:val="24"/>
        </w:rPr>
        <w:t xml:space="preserve"> after which</w:t>
      </w:r>
      <w:r w:rsidR="00427A51">
        <w:rPr>
          <w:rFonts w:cs="Times New Roman"/>
          <w:sz w:val="24"/>
          <w:szCs w:val="24"/>
        </w:rPr>
        <w:t xml:space="preserve"> the ANC "</w:t>
      </w:r>
      <w:r w:rsidR="009E33A8" w:rsidRPr="004451F9">
        <w:rPr>
          <w:rFonts w:cs="Times New Roman"/>
          <w:sz w:val="24"/>
          <w:szCs w:val="24"/>
        </w:rPr>
        <w:t>emerged as the leader of a new Government of N</w:t>
      </w:r>
      <w:r w:rsidR="0005448C">
        <w:rPr>
          <w:rFonts w:cs="Times New Roman"/>
          <w:sz w:val="24"/>
          <w:szCs w:val="24"/>
        </w:rPr>
        <w:t>ational Unity (GNU).</w:t>
      </w:r>
      <w:r w:rsidR="00081E53" w:rsidRPr="00081E53">
        <w:rPr>
          <w:rFonts w:cs="Times New Roman"/>
          <w:sz w:val="24"/>
          <w:szCs w:val="24"/>
        </w:rPr>
        <w:t xml:space="preserve"> </w:t>
      </w:r>
      <w:r w:rsidR="00081E53">
        <w:rPr>
          <w:rFonts w:cs="Times New Roman"/>
          <w:sz w:val="24"/>
          <w:szCs w:val="24"/>
        </w:rPr>
        <w:t>More astoun</w:t>
      </w:r>
      <w:r w:rsidR="00081E53" w:rsidRPr="004451F9">
        <w:rPr>
          <w:rFonts w:cs="Times New Roman"/>
          <w:sz w:val="24"/>
          <w:szCs w:val="24"/>
        </w:rPr>
        <w:t>dingly, the ANC was joined in the GNU by its erstwhile enemy, the National Party (NP), and its main black rival, the Zulu-based Inkatha Freedom Party (IFP)."</w:t>
      </w:r>
      <w:r w:rsidR="00081E53" w:rsidRPr="004451F9">
        <w:rPr>
          <w:rStyle w:val="FootnoteReference"/>
          <w:rFonts w:cs="Times New Roman"/>
          <w:sz w:val="24"/>
          <w:szCs w:val="24"/>
        </w:rPr>
        <w:footnoteReference w:id="247"/>
      </w:r>
      <w:r w:rsidR="00081E53" w:rsidRPr="004451F9">
        <w:rPr>
          <w:rFonts w:cs="Times New Roman"/>
          <w:sz w:val="24"/>
          <w:szCs w:val="24"/>
        </w:rPr>
        <w:t xml:space="preserve"> </w:t>
      </w:r>
      <w:r w:rsidR="00081E53" w:rsidRPr="00081E53">
        <w:rPr>
          <w:rStyle w:val="FootnoteReference"/>
          <w:rFonts w:cs="Times New Roman"/>
          <w:sz w:val="24"/>
          <w:szCs w:val="24"/>
        </w:rPr>
        <w:t xml:space="preserve"> </w:t>
      </w:r>
      <w:r w:rsidR="00081E53">
        <w:rPr>
          <w:rFonts w:cs="Times New Roman"/>
          <w:sz w:val="24"/>
          <w:szCs w:val="24"/>
        </w:rPr>
        <w:t xml:space="preserve">Some argue that the transition actually benefitted from the black government's inheritance of the white's "tight </w:t>
      </w:r>
      <w:r w:rsidR="00081E53" w:rsidRPr="00081E53">
        <w:rPr>
          <w:rFonts w:cs="Times New Roman"/>
          <w:sz w:val="24"/>
          <w:szCs w:val="24"/>
        </w:rPr>
        <w:t>control over resources and international access to provide a strong infrastructure and relatively sophisticated international economies."</w:t>
      </w:r>
      <w:r w:rsidR="00081E53" w:rsidRPr="00081E53">
        <w:rPr>
          <w:rStyle w:val="FootnoteReference"/>
          <w:rFonts w:cs="Times New Roman"/>
          <w:sz w:val="24"/>
          <w:szCs w:val="24"/>
        </w:rPr>
        <w:footnoteReference w:id="248"/>
      </w:r>
      <w:r w:rsidR="009E33A8" w:rsidRPr="004451F9">
        <w:rPr>
          <w:rFonts w:cs="Times New Roman"/>
          <w:sz w:val="24"/>
          <w:szCs w:val="24"/>
        </w:rPr>
        <w:t xml:space="preserve"> </w:t>
      </w:r>
      <w:r w:rsidR="00427A51">
        <w:rPr>
          <w:rFonts w:cs="Times New Roman"/>
          <w:sz w:val="24"/>
          <w:szCs w:val="24"/>
        </w:rPr>
        <w:t>Nineteen</w:t>
      </w:r>
      <w:r w:rsidR="0005448C" w:rsidRPr="004451F9">
        <w:rPr>
          <w:rFonts w:cs="Times New Roman"/>
          <w:sz w:val="24"/>
          <w:szCs w:val="24"/>
        </w:rPr>
        <w:t xml:space="preserve"> parties participated </w:t>
      </w:r>
      <w:r w:rsidR="00633FB0">
        <w:rPr>
          <w:rFonts w:cs="Times New Roman"/>
          <w:sz w:val="24"/>
          <w:szCs w:val="24"/>
        </w:rPr>
        <w:t xml:space="preserve">in the 1994 election </w:t>
      </w:r>
      <w:r w:rsidR="00427A51">
        <w:rPr>
          <w:rFonts w:cs="Times New Roman"/>
          <w:sz w:val="24"/>
          <w:szCs w:val="24"/>
        </w:rPr>
        <w:t>and none boycotted.</w:t>
      </w:r>
      <w:r w:rsidR="00427A51">
        <w:rPr>
          <w:rStyle w:val="FootnoteReference"/>
          <w:rFonts w:cs="Times New Roman"/>
          <w:sz w:val="24"/>
          <w:szCs w:val="24"/>
        </w:rPr>
        <w:footnoteReference w:id="249"/>
      </w:r>
      <w:r w:rsidR="00427A51">
        <w:rPr>
          <w:rFonts w:cs="Times New Roman"/>
          <w:sz w:val="24"/>
          <w:szCs w:val="24"/>
        </w:rPr>
        <w:t xml:space="preserve"> The voter turnout was 86 percent</w:t>
      </w:r>
      <w:r w:rsidR="0005448C" w:rsidRPr="004451F9">
        <w:rPr>
          <w:rFonts w:cs="Times New Roman"/>
          <w:sz w:val="24"/>
          <w:szCs w:val="24"/>
        </w:rPr>
        <w:t>, and a peac</w:t>
      </w:r>
      <w:r w:rsidR="00427A51">
        <w:rPr>
          <w:rFonts w:cs="Times New Roman"/>
          <w:sz w:val="24"/>
          <w:szCs w:val="24"/>
        </w:rPr>
        <w:t xml:space="preserve">eful turnover of </w:t>
      </w:r>
      <w:r w:rsidR="00427A51">
        <w:rPr>
          <w:rFonts w:cs="Times New Roman"/>
          <w:sz w:val="24"/>
          <w:szCs w:val="24"/>
        </w:rPr>
        <w:lastRenderedPageBreak/>
        <w:t>power resulted with all the losing parties</w:t>
      </w:r>
      <w:r w:rsidR="0005448C" w:rsidRPr="004451F9">
        <w:rPr>
          <w:rFonts w:cs="Times New Roman"/>
          <w:sz w:val="24"/>
          <w:szCs w:val="24"/>
        </w:rPr>
        <w:t xml:space="preserve"> accepting the election results and seven parties ultimately being represented in parliament.</w:t>
      </w:r>
      <w:r w:rsidR="00427A51" w:rsidRPr="00427A51">
        <w:rPr>
          <w:rStyle w:val="FootnoteReference"/>
          <w:rFonts w:cs="Times New Roman"/>
          <w:sz w:val="24"/>
          <w:szCs w:val="24"/>
        </w:rPr>
        <w:t xml:space="preserve"> </w:t>
      </w:r>
      <w:r w:rsidR="00427A51" w:rsidRPr="004451F9">
        <w:rPr>
          <w:rStyle w:val="FootnoteReference"/>
          <w:rFonts w:cs="Times New Roman"/>
          <w:sz w:val="24"/>
          <w:szCs w:val="24"/>
        </w:rPr>
        <w:footnoteReference w:id="250"/>
      </w:r>
      <w:r w:rsidR="0005448C" w:rsidRPr="004451F9">
        <w:rPr>
          <w:rFonts w:cs="Times New Roman"/>
          <w:sz w:val="24"/>
          <w:szCs w:val="24"/>
        </w:rPr>
        <w:t xml:space="preserve"> The second parliamentar</w:t>
      </w:r>
      <w:r w:rsidR="00427A51">
        <w:rPr>
          <w:rFonts w:cs="Times New Roman"/>
          <w:sz w:val="24"/>
          <w:szCs w:val="24"/>
        </w:rPr>
        <w:t>y election took place in June 1999</w:t>
      </w:r>
      <w:r w:rsidR="0005448C" w:rsidRPr="004451F9">
        <w:rPr>
          <w:rFonts w:cs="Times New Roman"/>
          <w:sz w:val="24"/>
          <w:szCs w:val="24"/>
        </w:rPr>
        <w:t xml:space="preserve"> with </w:t>
      </w:r>
      <w:r w:rsidR="00427A51">
        <w:rPr>
          <w:rFonts w:cs="Times New Roman"/>
          <w:sz w:val="24"/>
          <w:szCs w:val="24"/>
        </w:rPr>
        <w:t>even higher voter turnout (89 percent) and thirteen</w:t>
      </w:r>
      <w:r w:rsidR="0005448C" w:rsidRPr="004451F9">
        <w:rPr>
          <w:rFonts w:cs="Times New Roman"/>
          <w:sz w:val="24"/>
          <w:szCs w:val="24"/>
        </w:rPr>
        <w:t xml:space="preserve"> </w:t>
      </w:r>
      <w:r w:rsidR="0054445E">
        <w:rPr>
          <w:rFonts w:cs="Times New Roman"/>
          <w:sz w:val="24"/>
          <w:szCs w:val="24"/>
        </w:rPr>
        <w:t xml:space="preserve">of sixteen registered </w:t>
      </w:r>
      <w:r w:rsidR="0005448C" w:rsidRPr="004451F9">
        <w:rPr>
          <w:rFonts w:cs="Times New Roman"/>
          <w:sz w:val="24"/>
          <w:szCs w:val="24"/>
        </w:rPr>
        <w:t xml:space="preserve">parties </w:t>
      </w:r>
      <w:r w:rsidR="00427A51">
        <w:rPr>
          <w:rFonts w:cs="Times New Roman"/>
          <w:sz w:val="24"/>
          <w:szCs w:val="24"/>
        </w:rPr>
        <w:t xml:space="preserve">ultimately </w:t>
      </w:r>
      <w:r w:rsidR="0005448C" w:rsidRPr="004451F9">
        <w:rPr>
          <w:rFonts w:cs="Times New Roman"/>
          <w:sz w:val="24"/>
          <w:szCs w:val="24"/>
        </w:rPr>
        <w:t xml:space="preserve">represented </w:t>
      </w:r>
      <w:r w:rsidR="00427A51">
        <w:rPr>
          <w:rFonts w:cs="Times New Roman"/>
          <w:sz w:val="24"/>
          <w:szCs w:val="24"/>
        </w:rPr>
        <w:t>in parliament.</w:t>
      </w:r>
      <w:r w:rsidR="00427A51">
        <w:rPr>
          <w:rStyle w:val="FootnoteReference"/>
          <w:rFonts w:cs="Times New Roman"/>
          <w:sz w:val="24"/>
          <w:szCs w:val="24"/>
        </w:rPr>
        <w:footnoteReference w:id="251"/>
      </w:r>
      <w:r w:rsidR="0005448C" w:rsidRPr="004451F9">
        <w:rPr>
          <w:rFonts w:cs="Times New Roman"/>
          <w:sz w:val="24"/>
          <w:szCs w:val="24"/>
        </w:rPr>
        <w:t xml:space="preserve"> "In 2004, South Africa held its third racially inclusive and democratic election, and twelve parties won national representation. The ANC continued to dominate, winning 279 of the 400</w:t>
      </w:r>
      <w:r w:rsidR="0054445E">
        <w:rPr>
          <w:rFonts w:cs="Times New Roman"/>
          <w:sz w:val="24"/>
          <w:szCs w:val="24"/>
        </w:rPr>
        <w:t xml:space="preserve"> seats in the National Assembly."</w:t>
      </w:r>
      <w:r w:rsidR="0005448C" w:rsidRPr="004451F9">
        <w:rPr>
          <w:rStyle w:val="FootnoteReference"/>
          <w:rFonts w:cs="Times New Roman"/>
          <w:sz w:val="24"/>
          <w:szCs w:val="24"/>
        </w:rPr>
        <w:footnoteReference w:id="252"/>
      </w:r>
      <w:r w:rsidR="0005448C">
        <w:rPr>
          <w:rFonts w:cs="Times New Roman"/>
          <w:sz w:val="24"/>
          <w:szCs w:val="24"/>
        </w:rPr>
        <w:t xml:space="preserve"> </w:t>
      </w:r>
    </w:p>
    <w:p w:rsidR="0054445E" w:rsidRPr="0087638F" w:rsidRDefault="0054445E" w:rsidP="0087638F">
      <w:pPr>
        <w:spacing w:after="0" w:line="480" w:lineRule="auto"/>
        <w:ind w:firstLine="720"/>
        <w:rPr>
          <w:sz w:val="24"/>
          <w:szCs w:val="24"/>
        </w:rPr>
      </w:pPr>
      <w:r>
        <w:rPr>
          <w:rFonts w:cs="Times New Roman"/>
          <w:sz w:val="24"/>
          <w:szCs w:val="24"/>
        </w:rPr>
        <w:t>The ANC has maintained a hold on political power since the end of apartheid</w:t>
      </w:r>
      <w:r w:rsidR="0005448C" w:rsidRPr="004451F9">
        <w:rPr>
          <w:rFonts w:cs="Times New Roman"/>
          <w:sz w:val="24"/>
          <w:szCs w:val="24"/>
        </w:rPr>
        <w:t xml:space="preserve">, with the Inkatha </w:t>
      </w:r>
      <w:r w:rsidR="00081E53">
        <w:rPr>
          <w:rFonts w:cs="Times New Roman"/>
          <w:sz w:val="24"/>
          <w:szCs w:val="24"/>
        </w:rPr>
        <w:t xml:space="preserve">Freedom Party (IFP) and the </w:t>
      </w:r>
      <w:r w:rsidR="0005448C" w:rsidRPr="004451F9">
        <w:rPr>
          <w:rFonts w:cs="Times New Roman"/>
          <w:sz w:val="24"/>
          <w:szCs w:val="24"/>
        </w:rPr>
        <w:t xml:space="preserve">Democratic Alliance (DA) </w:t>
      </w:r>
      <w:r w:rsidR="00081E53">
        <w:rPr>
          <w:rFonts w:cs="Times New Roman"/>
          <w:sz w:val="24"/>
          <w:szCs w:val="24"/>
        </w:rPr>
        <w:t>providing the other two main political parties.</w:t>
      </w:r>
      <w:r w:rsidR="0005448C" w:rsidRPr="004451F9">
        <w:rPr>
          <w:rStyle w:val="FootnoteReference"/>
          <w:rFonts w:cs="Times New Roman"/>
          <w:sz w:val="24"/>
          <w:szCs w:val="24"/>
        </w:rPr>
        <w:footnoteReference w:id="253"/>
      </w:r>
    </w:p>
    <w:p w:rsidR="0054445E" w:rsidRDefault="009E33A8" w:rsidP="0054445E">
      <w:pPr>
        <w:spacing w:after="0" w:line="240" w:lineRule="auto"/>
        <w:ind w:left="720" w:right="720"/>
        <w:rPr>
          <w:rFonts w:cs="Times New Roman"/>
          <w:sz w:val="24"/>
          <w:szCs w:val="24"/>
        </w:rPr>
      </w:pPr>
      <w:r w:rsidRPr="004451F9">
        <w:rPr>
          <w:rFonts w:cs="Times New Roman"/>
          <w:sz w:val="24"/>
          <w:szCs w:val="24"/>
        </w:rPr>
        <w:t>South Africa under the ANC has once again become a dominant-party system, albeit in the context of democratic institutions, including an impressive and inclusive constitutional structure and regular m</w:t>
      </w:r>
      <w:r w:rsidR="0005448C">
        <w:rPr>
          <w:rFonts w:cs="Times New Roman"/>
          <w:sz w:val="24"/>
          <w:szCs w:val="24"/>
        </w:rPr>
        <w:t>ultiparty elections</w:t>
      </w:r>
      <w:r w:rsidRPr="004451F9">
        <w:rPr>
          <w:rFonts w:cs="Times New Roman"/>
          <w:sz w:val="24"/>
          <w:szCs w:val="24"/>
        </w:rPr>
        <w:t>. The concentration of power, however, holds implications for governance, for these institutions, and for the country's nascent democratic culture, which may be showing premat</w:t>
      </w:r>
      <w:r w:rsidR="0005448C">
        <w:rPr>
          <w:rFonts w:cs="Times New Roman"/>
          <w:sz w:val="24"/>
          <w:szCs w:val="24"/>
        </w:rPr>
        <w:t>ure signs of decay</w:t>
      </w:r>
      <w:r w:rsidRPr="004451F9">
        <w:rPr>
          <w:rFonts w:cs="Times New Roman"/>
          <w:sz w:val="24"/>
          <w:szCs w:val="24"/>
        </w:rPr>
        <w:t>.</w:t>
      </w:r>
      <w:r w:rsidRPr="004451F9">
        <w:rPr>
          <w:rStyle w:val="FootnoteReference"/>
          <w:rFonts w:cs="Times New Roman"/>
          <w:sz w:val="24"/>
          <w:szCs w:val="24"/>
        </w:rPr>
        <w:footnoteReference w:id="254"/>
      </w:r>
    </w:p>
    <w:p w:rsidR="0054445E" w:rsidRDefault="0054445E" w:rsidP="0054445E">
      <w:pPr>
        <w:spacing w:after="0" w:line="240" w:lineRule="auto"/>
        <w:ind w:left="720" w:right="720"/>
        <w:rPr>
          <w:rFonts w:cs="Times New Roman"/>
          <w:sz w:val="24"/>
          <w:szCs w:val="24"/>
        </w:rPr>
      </w:pPr>
    </w:p>
    <w:p w:rsidR="00E06460" w:rsidRDefault="0054445E" w:rsidP="00E06460">
      <w:pPr>
        <w:spacing w:after="0" w:line="480" w:lineRule="auto"/>
        <w:rPr>
          <w:rFonts w:cs="Times New Roman"/>
          <w:sz w:val="24"/>
          <w:szCs w:val="24"/>
        </w:rPr>
      </w:pPr>
      <w:r>
        <w:rPr>
          <w:rFonts w:cs="Times New Roman"/>
          <w:sz w:val="24"/>
          <w:szCs w:val="24"/>
        </w:rPr>
        <w:t xml:space="preserve">Single-party systems resist credible opposition and, thus, </w:t>
      </w:r>
      <w:r w:rsidR="003C628F">
        <w:rPr>
          <w:rFonts w:cs="Times New Roman"/>
          <w:sz w:val="24"/>
          <w:szCs w:val="24"/>
        </w:rPr>
        <w:t>delegitimize democracy.</w:t>
      </w:r>
      <w:r w:rsidR="002E5B82">
        <w:rPr>
          <w:rStyle w:val="FootnoteReference"/>
          <w:rFonts w:cs="Times New Roman"/>
          <w:sz w:val="24"/>
          <w:szCs w:val="24"/>
        </w:rPr>
        <w:footnoteReference w:id="255"/>
      </w:r>
      <w:r w:rsidR="00FA35E1">
        <w:rPr>
          <w:rFonts w:cs="Times New Roman"/>
          <w:sz w:val="24"/>
          <w:szCs w:val="24"/>
        </w:rPr>
        <w:t xml:space="preserve"> However, one author postulates that because the ANC and parties like it "began as broad independence movements whose main objective was self-rule," a dominant one-party system is a natural consequence</w:t>
      </w:r>
      <w:r w:rsidR="00A64CE6">
        <w:rPr>
          <w:rFonts w:cs="Times New Roman"/>
          <w:sz w:val="24"/>
          <w:szCs w:val="24"/>
        </w:rPr>
        <w:t xml:space="preserve"> and that, at least during initial years of transition to democracy, one-party systems provide stability</w:t>
      </w:r>
      <w:r w:rsidR="00FA35E1">
        <w:rPr>
          <w:rFonts w:cs="Times New Roman"/>
          <w:sz w:val="24"/>
          <w:szCs w:val="24"/>
        </w:rPr>
        <w:t>.</w:t>
      </w:r>
      <w:r w:rsidR="00FA35E1">
        <w:rPr>
          <w:rStyle w:val="FootnoteReference"/>
          <w:rFonts w:cs="Times New Roman"/>
          <w:sz w:val="24"/>
          <w:szCs w:val="24"/>
        </w:rPr>
        <w:footnoteReference w:id="256"/>
      </w:r>
      <w:r w:rsidR="00FA35E1">
        <w:rPr>
          <w:rFonts w:cs="Times New Roman"/>
          <w:sz w:val="24"/>
          <w:szCs w:val="24"/>
        </w:rPr>
        <w:t xml:space="preserve"> The "advantage in getting more press coverage" contributes to ruling party </w:t>
      </w:r>
      <w:r w:rsidR="00FA35E1">
        <w:rPr>
          <w:rFonts w:cs="Times New Roman"/>
          <w:sz w:val="24"/>
          <w:szCs w:val="24"/>
        </w:rPr>
        <w:lastRenderedPageBreak/>
        <w:t>entrenchment as does greater access to domestic and foreign funding networks, which is particularly true in the case of the ANC.</w:t>
      </w:r>
      <w:r w:rsidR="00FA35E1">
        <w:rPr>
          <w:rStyle w:val="FootnoteReference"/>
          <w:rFonts w:cs="Times New Roman"/>
          <w:sz w:val="24"/>
          <w:szCs w:val="24"/>
        </w:rPr>
        <w:footnoteReference w:id="257"/>
      </w:r>
      <w:r w:rsidR="00FA35E1">
        <w:rPr>
          <w:rFonts w:cs="Times New Roman"/>
          <w:sz w:val="24"/>
          <w:szCs w:val="24"/>
        </w:rPr>
        <w:t xml:space="preserve"> </w:t>
      </w:r>
      <w:r w:rsidR="00A64CE6">
        <w:rPr>
          <w:rFonts w:cs="Times New Roman"/>
          <w:sz w:val="24"/>
          <w:szCs w:val="24"/>
        </w:rPr>
        <w:t>South Africa does not regulate "private and foreign donations to parties," and the ANC has amassed tens of million</w:t>
      </w:r>
      <w:r w:rsidR="005B6E14">
        <w:rPr>
          <w:rFonts w:cs="Times New Roman"/>
          <w:sz w:val="24"/>
          <w:szCs w:val="24"/>
        </w:rPr>
        <w:t>s of dollars from countries as varied</w:t>
      </w:r>
      <w:r w:rsidR="00A64CE6">
        <w:rPr>
          <w:rFonts w:cs="Times New Roman"/>
          <w:sz w:val="24"/>
          <w:szCs w:val="24"/>
        </w:rPr>
        <w:t xml:space="preserve"> as Sweden, Russia, Taiwan, and Indonesia.</w:t>
      </w:r>
      <w:r w:rsidR="00A64CE6">
        <w:rPr>
          <w:rStyle w:val="FootnoteReference"/>
          <w:rFonts w:cs="Times New Roman"/>
          <w:sz w:val="24"/>
          <w:szCs w:val="24"/>
        </w:rPr>
        <w:footnoteReference w:id="258"/>
      </w:r>
      <w:r w:rsidR="003C628F">
        <w:rPr>
          <w:rFonts w:cs="Times New Roman"/>
          <w:sz w:val="24"/>
          <w:szCs w:val="24"/>
        </w:rPr>
        <w:t xml:space="preserve"> The party has also acquired significant commercial holdings and benefitted from illicit oil-for-food payments from Saddam Hussein.</w:t>
      </w:r>
      <w:r w:rsidR="003C628F">
        <w:rPr>
          <w:rStyle w:val="FootnoteReference"/>
          <w:rFonts w:cs="Times New Roman"/>
          <w:sz w:val="24"/>
          <w:szCs w:val="24"/>
        </w:rPr>
        <w:footnoteReference w:id="259"/>
      </w:r>
      <w:r w:rsidR="001F27CB">
        <w:rPr>
          <w:rFonts w:cs="Times New Roman"/>
          <w:sz w:val="24"/>
          <w:szCs w:val="24"/>
        </w:rPr>
        <w:t xml:space="preserve"> </w:t>
      </w:r>
      <w:r w:rsidR="00B213BA">
        <w:rPr>
          <w:rFonts w:cs="Times New Roman"/>
          <w:sz w:val="24"/>
          <w:szCs w:val="24"/>
        </w:rPr>
        <w:t xml:space="preserve">"In 2006 the </w:t>
      </w:r>
      <w:r w:rsidR="00B213BA">
        <w:rPr>
          <w:rFonts w:cs="Times New Roman"/>
          <w:i/>
          <w:sz w:val="24"/>
          <w:szCs w:val="24"/>
        </w:rPr>
        <w:t xml:space="preserve">Mail &amp; Guardian </w:t>
      </w:r>
      <w:r w:rsidR="00B213BA">
        <w:rPr>
          <w:rFonts w:cs="Times New Roman"/>
          <w:sz w:val="24"/>
          <w:szCs w:val="24"/>
        </w:rPr>
        <w:t>uncovered an elaborate network of companies, known as the Chancellor House Group, established to utilize black economic empowerment deals to raise money for the ruling party."</w:t>
      </w:r>
      <w:r w:rsidR="00AE6ED1" w:rsidRPr="00AE6ED1">
        <w:rPr>
          <w:rStyle w:val="FootnoteReference"/>
          <w:rFonts w:cs="Times New Roman"/>
          <w:sz w:val="24"/>
          <w:szCs w:val="24"/>
        </w:rPr>
        <w:t xml:space="preserve"> </w:t>
      </w:r>
      <w:r w:rsidR="00AE6ED1">
        <w:rPr>
          <w:rStyle w:val="FootnoteReference"/>
          <w:rFonts w:cs="Times New Roman"/>
          <w:sz w:val="24"/>
          <w:szCs w:val="24"/>
        </w:rPr>
        <w:footnoteReference w:id="260"/>
      </w:r>
      <w:r w:rsidR="00B213BA">
        <w:rPr>
          <w:rFonts w:cs="Times New Roman"/>
          <w:sz w:val="24"/>
          <w:szCs w:val="24"/>
        </w:rPr>
        <w:t xml:space="preserve"> One former ANC </w:t>
      </w:r>
      <w:r w:rsidR="00AE6ED1">
        <w:rPr>
          <w:rFonts w:cs="Times New Roman"/>
          <w:sz w:val="24"/>
          <w:szCs w:val="24"/>
        </w:rPr>
        <w:t>parliamentarian</w:t>
      </w:r>
      <w:r w:rsidR="00B213BA">
        <w:rPr>
          <w:rFonts w:cs="Times New Roman"/>
          <w:sz w:val="24"/>
          <w:szCs w:val="24"/>
        </w:rPr>
        <w:t xml:space="preserve"> has even written a tell-all book about billions of dollars funneled to the ANC and party officials through illicit arms deals and bribes.</w:t>
      </w:r>
      <w:r w:rsidR="00B213BA">
        <w:rPr>
          <w:rStyle w:val="FootnoteReference"/>
          <w:rFonts w:cs="Times New Roman"/>
          <w:sz w:val="24"/>
          <w:szCs w:val="24"/>
        </w:rPr>
        <w:footnoteReference w:id="261"/>
      </w:r>
      <w:r w:rsidR="00B213BA">
        <w:rPr>
          <w:rFonts w:cs="Times New Roman"/>
          <w:sz w:val="24"/>
          <w:szCs w:val="24"/>
        </w:rPr>
        <w:t xml:space="preserve"> Yet, t</w:t>
      </w:r>
      <w:r w:rsidR="005F01D1">
        <w:rPr>
          <w:rFonts w:cs="Times New Roman"/>
          <w:sz w:val="24"/>
          <w:szCs w:val="24"/>
        </w:rPr>
        <w:t>he ANC has further entrenched itself by continuing to characterize itself as</w:t>
      </w:r>
      <w:r w:rsidR="005F01D1" w:rsidRPr="005F01D1">
        <w:rPr>
          <w:rFonts w:cs="Times New Roman"/>
          <w:sz w:val="24"/>
          <w:szCs w:val="24"/>
        </w:rPr>
        <w:t xml:space="preserve"> </w:t>
      </w:r>
      <w:r w:rsidR="005F01D1">
        <w:rPr>
          <w:rFonts w:cs="Times New Roman"/>
          <w:sz w:val="24"/>
          <w:szCs w:val="24"/>
        </w:rPr>
        <w:t>"</w:t>
      </w:r>
      <w:r w:rsidR="005F01D1" w:rsidRPr="005F01D1">
        <w:rPr>
          <w:rFonts w:cs="Times New Roman"/>
          <w:sz w:val="24"/>
          <w:szCs w:val="24"/>
        </w:rPr>
        <w:t>a liberation movement rather than an ordinary political party.</w:t>
      </w:r>
      <w:r w:rsidR="005F01D1">
        <w:rPr>
          <w:rFonts w:cs="Times New Roman"/>
          <w:sz w:val="24"/>
          <w:szCs w:val="24"/>
        </w:rPr>
        <w:t>"</w:t>
      </w:r>
      <w:r w:rsidR="005F01D1">
        <w:rPr>
          <w:rStyle w:val="FootnoteReference"/>
          <w:rFonts w:cs="Times New Roman"/>
          <w:sz w:val="24"/>
          <w:szCs w:val="24"/>
        </w:rPr>
        <w:footnoteReference w:id="262"/>
      </w:r>
    </w:p>
    <w:p w:rsidR="00C87E1B" w:rsidRDefault="00E06460" w:rsidP="00E06460">
      <w:pPr>
        <w:spacing w:after="0" w:line="480" w:lineRule="auto"/>
        <w:ind w:firstLine="720"/>
        <w:rPr>
          <w:rFonts w:cs="Times New Roman"/>
          <w:sz w:val="24"/>
          <w:szCs w:val="24"/>
        </w:rPr>
      </w:pPr>
      <w:r>
        <w:rPr>
          <w:rFonts w:cs="Times New Roman"/>
          <w:sz w:val="24"/>
          <w:szCs w:val="24"/>
        </w:rPr>
        <w:t xml:space="preserve">In addition to suffering from one-party dominance, South Africa's electoral system and internal party governance structures also contribute to its democratic deficiency. </w:t>
      </w:r>
    </w:p>
    <w:p w:rsidR="00C87E1B" w:rsidRDefault="00E06460" w:rsidP="00C87E1B">
      <w:pPr>
        <w:spacing w:after="0" w:line="240" w:lineRule="auto"/>
        <w:ind w:left="720" w:right="720"/>
        <w:rPr>
          <w:rFonts w:cs="Times New Roman"/>
          <w:sz w:val="24"/>
          <w:szCs w:val="24"/>
        </w:rPr>
      </w:pPr>
      <w:r w:rsidRPr="00E06460">
        <w:rPr>
          <w:rFonts w:cs="Times New Roman"/>
          <w:sz w:val="24"/>
          <w:szCs w:val="24"/>
        </w:rPr>
        <w:t xml:space="preserve">South Africa's electoral system </w:t>
      </w:r>
      <w:r>
        <w:rPr>
          <w:rFonts w:cs="Times New Roman"/>
          <w:sz w:val="24"/>
          <w:szCs w:val="24"/>
        </w:rPr>
        <w:t>…</w:t>
      </w:r>
      <w:r w:rsidRPr="00E06460">
        <w:rPr>
          <w:rFonts w:cs="Times New Roman"/>
          <w:sz w:val="24"/>
          <w:szCs w:val="24"/>
        </w:rPr>
        <w:t xml:space="preserve"> influences the internal functioning of parties: Voters elect party slates of candidates rather than individuals, but how parties constitute these slates is their own affair</w:t>
      </w:r>
      <w:r>
        <w:rPr>
          <w:rFonts w:cs="Times New Roman"/>
          <w:sz w:val="24"/>
          <w:szCs w:val="24"/>
        </w:rPr>
        <w:t>. … [L]</w:t>
      </w:r>
      <w:r w:rsidRPr="00E06460">
        <w:rPr>
          <w:rFonts w:cs="Times New Roman"/>
          <w:sz w:val="24"/>
          <w:szCs w:val="24"/>
        </w:rPr>
        <w:t>eaders have the final say about who goes to parliament</w:t>
      </w:r>
      <w:r>
        <w:rPr>
          <w:rFonts w:cs="Times New Roman"/>
          <w:sz w:val="24"/>
          <w:szCs w:val="24"/>
        </w:rPr>
        <w:t>.</w:t>
      </w:r>
      <w:r w:rsidRPr="00E06460">
        <w:rPr>
          <w:rFonts w:cs="Times New Roman"/>
          <w:sz w:val="24"/>
          <w:szCs w:val="24"/>
        </w:rPr>
        <w:t xml:space="preserve"> </w:t>
      </w:r>
      <w:r w:rsidR="00C87E1B">
        <w:rPr>
          <w:rFonts w:cs="Times New Roman"/>
          <w:sz w:val="24"/>
          <w:szCs w:val="24"/>
        </w:rPr>
        <w:t xml:space="preserve">… </w:t>
      </w:r>
      <w:r w:rsidRPr="00E06460">
        <w:rPr>
          <w:rFonts w:cs="Times New Roman"/>
          <w:sz w:val="24"/>
          <w:szCs w:val="24"/>
        </w:rPr>
        <w:t>Party leaders can also reassign seats, and parliamentarians therefore defer to party leaders, particularly in the ANC. Personal accountability of representatives to voters is weak, despite the voluntary assignment of parliamentarians</w:t>
      </w:r>
      <w:r>
        <w:rPr>
          <w:rFonts w:cs="Times New Roman"/>
          <w:sz w:val="24"/>
          <w:szCs w:val="24"/>
        </w:rPr>
        <w:t xml:space="preserve"> </w:t>
      </w:r>
      <w:r w:rsidRPr="00E06460">
        <w:rPr>
          <w:rFonts w:cs="Times New Roman"/>
          <w:sz w:val="24"/>
          <w:szCs w:val="24"/>
        </w:rPr>
        <w:t>to geographic "constituencies."</w:t>
      </w:r>
      <w:r w:rsidR="00C87E1B">
        <w:rPr>
          <w:rStyle w:val="FootnoteReference"/>
          <w:rFonts w:cs="Times New Roman"/>
          <w:sz w:val="24"/>
          <w:szCs w:val="24"/>
        </w:rPr>
        <w:footnoteReference w:id="263"/>
      </w:r>
    </w:p>
    <w:p w:rsidR="00C87E1B" w:rsidRDefault="00E06460" w:rsidP="00C87E1B">
      <w:pPr>
        <w:spacing w:after="0" w:line="240" w:lineRule="auto"/>
        <w:ind w:left="720" w:right="720"/>
        <w:rPr>
          <w:rFonts w:cs="Times New Roman"/>
          <w:sz w:val="24"/>
          <w:szCs w:val="24"/>
        </w:rPr>
      </w:pPr>
      <w:r>
        <w:rPr>
          <w:rFonts w:cs="Times New Roman"/>
          <w:sz w:val="24"/>
          <w:szCs w:val="24"/>
        </w:rPr>
        <w:t xml:space="preserve"> </w:t>
      </w:r>
    </w:p>
    <w:p w:rsidR="00C87E1B" w:rsidRPr="00C87E1B" w:rsidRDefault="00C87E1B" w:rsidP="00C87E1B">
      <w:pPr>
        <w:spacing w:after="0" w:line="480" w:lineRule="auto"/>
        <w:rPr>
          <w:rFonts w:cs="Times New Roman"/>
          <w:sz w:val="24"/>
          <w:szCs w:val="24"/>
        </w:rPr>
      </w:pPr>
      <w:r w:rsidRPr="00C87E1B">
        <w:rPr>
          <w:rFonts w:cs="Times New Roman"/>
          <w:sz w:val="24"/>
          <w:szCs w:val="24"/>
        </w:rPr>
        <w:lastRenderedPageBreak/>
        <w:t>Because the parties are allowed to choose their own par</w:t>
      </w:r>
      <w:r>
        <w:rPr>
          <w:rFonts w:cs="Times New Roman"/>
          <w:sz w:val="24"/>
          <w:szCs w:val="24"/>
        </w:rPr>
        <w:t xml:space="preserve">liamentary representatives, the </w:t>
      </w:r>
      <w:r w:rsidRPr="00C87E1B">
        <w:rPr>
          <w:rFonts w:cs="Times New Roman"/>
          <w:sz w:val="24"/>
          <w:szCs w:val="24"/>
        </w:rPr>
        <w:t>opportunity for true democracy and accountability to voters is concentrated within the internal party structures, which are all governed by somewhat elaborate constitutions.</w:t>
      </w:r>
      <w:r>
        <w:rPr>
          <w:rStyle w:val="FootnoteReference"/>
          <w:rFonts w:cs="Times New Roman"/>
          <w:sz w:val="24"/>
          <w:szCs w:val="24"/>
        </w:rPr>
        <w:footnoteReference w:id="264"/>
      </w:r>
      <w:r w:rsidRPr="00C87E1B">
        <w:rPr>
          <w:rFonts w:cs="Times New Roman"/>
          <w:sz w:val="24"/>
          <w:szCs w:val="24"/>
        </w:rPr>
        <w:t xml:space="preserve"> But at least in the ANC, competition for the highest party positions</w:t>
      </w:r>
      <w:r>
        <w:rPr>
          <w:rFonts w:cs="Times New Roman"/>
          <w:sz w:val="24"/>
          <w:szCs w:val="24"/>
        </w:rPr>
        <w:t xml:space="preserve"> </w:t>
      </w:r>
      <w:r w:rsidRPr="00C87E1B">
        <w:rPr>
          <w:rFonts w:cs="Times New Roman"/>
          <w:sz w:val="24"/>
          <w:szCs w:val="24"/>
        </w:rPr>
        <w:t>is actively discouraged.</w:t>
      </w:r>
      <w:r>
        <w:rPr>
          <w:rStyle w:val="FootnoteReference"/>
          <w:rFonts w:cs="Times New Roman"/>
          <w:sz w:val="24"/>
          <w:szCs w:val="24"/>
        </w:rPr>
        <w:footnoteReference w:id="265"/>
      </w:r>
      <w:r>
        <w:rPr>
          <w:rFonts w:cs="Times New Roman"/>
          <w:sz w:val="24"/>
          <w:szCs w:val="24"/>
        </w:rPr>
        <w:t xml:space="preserve"> </w:t>
      </w:r>
      <w:r w:rsidR="001C7766">
        <w:rPr>
          <w:rFonts w:cs="Times New Roman"/>
          <w:sz w:val="24"/>
          <w:szCs w:val="24"/>
        </w:rPr>
        <w:t>Even policy discussions are designed to discourage debate, and parliamentarians are subordinated to party leaders by a code of conduct that prohibits their undermining of the party platform.</w:t>
      </w:r>
      <w:r w:rsidR="001C7766">
        <w:rPr>
          <w:rStyle w:val="FootnoteReference"/>
          <w:rFonts w:cs="Times New Roman"/>
          <w:sz w:val="24"/>
          <w:szCs w:val="24"/>
        </w:rPr>
        <w:footnoteReference w:id="266"/>
      </w:r>
      <w:r w:rsidR="001C7766">
        <w:rPr>
          <w:rFonts w:cs="Times New Roman"/>
          <w:sz w:val="24"/>
          <w:szCs w:val="24"/>
        </w:rPr>
        <w:t xml:space="preserve"> </w:t>
      </w:r>
      <w:r>
        <w:rPr>
          <w:rFonts w:cs="Times New Roman"/>
          <w:sz w:val="24"/>
          <w:szCs w:val="24"/>
        </w:rPr>
        <w:t>Likewise, "</w:t>
      </w:r>
      <w:r w:rsidR="001C7766">
        <w:rPr>
          <w:rFonts w:cs="Times New Roman"/>
          <w:sz w:val="24"/>
          <w:szCs w:val="24"/>
        </w:rPr>
        <w:t>[i]</w:t>
      </w:r>
      <w:r w:rsidRPr="00C87E1B">
        <w:rPr>
          <w:rFonts w:cs="Times New Roman"/>
          <w:sz w:val="24"/>
          <w:szCs w:val="24"/>
        </w:rPr>
        <w:t xml:space="preserve">n the IFP, authority is centralized and the </w:t>
      </w:r>
      <w:r w:rsidR="00CB612B">
        <w:rPr>
          <w:rFonts w:cs="Times New Roman"/>
          <w:sz w:val="24"/>
          <w:szCs w:val="24"/>
        </w:rPr>
        <w:t xml:space="preserve">[party's] </w:t>
      </w:r>
      <w:r w:rsidRPr="00C87E1B">
        <w:rPr>
          <w:rFonts w:cs="Times New Roman"/>
          <w:sz w:val="24"/>
          <w:szCs w:val="24"/>
        </w:rPr>
        <w:t>constitution confers considerable power and discretion upon the national leadership.</w:t>
      </w:r>
      <w:r w:rsidR="001C7766">
        <w:rPr>
          <w:rFonts w:cs="Times New Roman"/>
          <w:sz w:val="24"/>
          <w:szCs w:val="24"/>
        </w:rPr>
        <w:t>"</w:t>
      </w:r>
      <w:r w:rsidR="001C7766">
        <w:rPr>
          <w:rStyle w:val="FootnoteReference"/>
          <w:rFonts w:cs="Times New Roman"/>
          <w:sz w:val="24"/>
          <w:szCs w:val="24"/>
        </w:rPr>
        <w:footnoteReference w:id="267"/>
      </w:r>
      <w:r w:rsidRPr="00C87E1B">
        <w:rPr>
          <w:rFonts w:cs="Times New Roman"/>
          <w:sz w:val="24"/>
          <w:szCs w:val="24"/>
        </w:rPr>
        <w:t xml:space="preserve"> </w:t>
      </w:r>
      <w:r w:rsidR="001C7766">
        <w:rPr>
          <w:rFonts w:cs="Times New Roman"/>
          <w:sz w:val="24"/>
          <w:szCs w:val="24"/>
        </w:rPr>
        <w:t>One of the IFP's former parliamentarians even called the party's structure "an internal dictatorship</w:t>
      </w:r>
      <w:r w:rsidR="00CB612B">
        <w:rPr>
          <w:rFonts w:cs="Times New Roman"/>
          <w:sz w:val="24"/>
          <w:szCs w:val="24"/>
        </w:rPr>
        <w:t>;</w:t>
      </w:r>
      <w:r w:rsidR="001C7766">
        <w:rPr>
          <w:rFonts w:cs="Times New Roman"/>
          <w:sz w:val="24"/>
          <w:szCs w:val="24"/>
        </w:rPr>
        <w:t>"</w:t>
      </w:r>
      <w:r w:rsidR="00CB612B">
        <w:rPr>
          <w:rFonts w:cs="Times New Roman"/>
          <w:sz w:val="24"/>
          <w:szCs w:val="24"/>
        </w:rPr>
        <w:t xml:space="preserve"> however, "</w:t>
      </w:r>
      <w:r w:rsidR="00CB612B" w:rsidRPr="00CB612B">
        <w:rPr>
          <w:rFonts w:cs="Times New Roman"/>
          <w:sz w:val="24"/>
          <w:szCs w:val="24"/>
        </w:rPr>
        <w:t xml:space="preserve">the leadership's authority over policy making is buttressed by a system of standing committees appointed by the IFP's National and Provincial Councils, </w:t>
      </w:r>
      <w:r w:rsidR="00CB612B">
        <w:rPr>
          <w:rFonts w:cs="Times New Roman"/>
          <w:sz w:val="24"/>
          <w:szCs w:val="24"/>
        </w:rPr>
        <w:t>…</w:t>
      </w:r>
      <w:r w:rsidR="00CB612B" w:rsidRPr="00CB612B">
        <w:rPr>
          <w:rFonts w:cs="Times New Roman"/>
          <w:sz w:val="24"/>
          <w:szCs w:val="24"/>
        </w:rPr>
        <w:t xml:space="preserve"> but there is little evidence of widespread participation in deliberations about policy within the organization.</w:t>
      </w:r>
      <w:r w:rsidR="00CB612B">
        <w:rPr>
          <w:rFonts w:cs="Times New Roman"/>
          <w:sz w:val="24"/>
          <w:szCs w:val="24"/>
        </w:rPr>
        <w:t>"</w:t>
      </w:r>
      <w:r w:rsidR="00CB612B" w:rsidRPr="00CB612B">
        <w:rPr>
          <w:rStyle w:val="FootnoteReference"/>
          <w:rFonts w:cs="Times New Roman"/>
          <w:sz w:val="24"/>
          <w:szCs w:val="24"/>
        </w:rPr>
        <w:t xml:space="preserve"> </w:t>
      </w:r>
      <w:r w:rsidR="00CB612B">
        <w:rPr>
          <w:rStyle w:val="FootnoteReference"/>
          <w:rFonts w:cs="Times New Roman"/>
          <w:sz w:val="24"/>
          <w:szCs w:val="24"/>
        </w:rPr>
        <w:footnoteReference w:id="268"/>
      </w:r>
      <w:r w:rsidR="00CB612B">
        <w:rPr>
          <w:rFonts w:cs="Times New Roman"/>
          <w:sz w:val="24"/>
          <w:szCs w:val="24"/>
        </w:rPr>
        <w:t xml:space="preserve"> </w:t>
      </w:r>
      <w:r>
        <w:rPr>
          <w:rFonts w:cs="Times New Roman"/>
          <w:sz w:val="24"/>
          <w:szCs w:val="24"/>
        </w:rPr>
        <w:t xml:space="preserve">The DA on the other hand affords </w:t>
      </w:r>
      <w:r w:rsidR="00CB612B">
        <w:rPr>
          <w:rFonts w:cs="Times New Roman"/>
          <w:sz w:val="24"/>
          <w:szCs w:val="24"/>
        </w:rPr>
        <w:t xml:space="preserve">much </w:t>
      </w:r>
      <w:r>
        <w:rPr>
          <w:rFonts w:cs="Times New Roman"/>
          <w:sz w:val="24"/>
          <w:szCs w:val="24"/>
        </w:rPr>
        <w:t xml:space="preserve">greater </w:t>
      </w:r>
      <w:r w:rsidR="00CB612B">
        <w:rPr>
          <w:rFonts w:cs="Times New Roman"/>
          <w:sz w:val="24"/>
          <w:szCs w:val="24"/>
        </w:rPr>
        <w:t xml:space="preserve">policy-making </w:t>
      </w:r>
      <w:r>
        <w:rPr>
          <w:rFonts w:cs="Times New Roman"/>
          <w:sz w:val="24"/>
          <w:szCs w:val="24"/>
        </w:rPr>
        <w:t>influence to parliamentarians.</w:t>
      </w:r>
      <w:r>
        <w:rPr>
          <w:rStyle w:val="FootnoteReference"/>
          <w:rFonts w:cs="Times New Roman"/>
          <w:sz w:val="24"/>
          <w:szCs w:val="24"/>
        </w:rPr>
        <w:footnoteReference w:id="269"/>
      </w:r>
    </w:p>
    <w:p w:rsidR="0087638F" w:rsidRPr="000942ED" w:rsidRDefault="00CB612B" w:rsidP="00E06460">
      <w:pPr>
        <w:spacing w:after="0" w:line="480" w:lineRule="auto"/>
        <w:ind w:firstLine="720"/>
        <w:rPr>
          <w:rFonts w:cs="Times New Roman"/>
          <w:sz w:val="24"/>
          <w:szCs w:val="24"/>
        </w:rPr>
      </w:pPr>
      <w:r>
        <w:rPr>
          <w:rFonts w:cs="Times New Roman"/>
          <w:sz w:val="24"/>
          <w:szCs w:val="24"/>
        </w:rPr>
        <w:t xml:space="preserve">Discontent with the ANC </w:t>
      </w:r>
      <w:r w:rsidR="001C6BB1">
        <w:rPr>
          <w:rFonts w:cs="Times New Roman"/>
          <w:sz w:val="24"/>
          <w:szCs w:val="24"/>
        </w:rPr>
        <w:t xml:space="preserve">and politics in general </w:t>
      </w:r>
      <w:r>
        <w:rPr>
          <w:rFonts w:cs="Times New Roman"/>
          <w:sz w:val="24"/>
          <w:szCs w:val="24"/>
        </w:rPr>
        <w:t>has been growing, however.</w:t>
      </w:r>
      <w:r w:rsidR="001C6BB1">
        <w:rPr>
          <w:rStyle w:val="FootnoteReference"/>
          <w:rFonts w:cs="Times New Roman"/>
          <w:sz w:val="24"/>
          <w:szCs w:val="24"/>
        </w:rPr>
        <w:footnoteReference w:id="270"/>
      </w:r>
      <w:r>
        <w:rPr>
          <w:rFonts w:cs="Times New Roman"/>
          <w:sz w:val="24"/>
          <w:szCs w:val="24"/>
        </w:rPr>
        <w:t xml:space="preserve"> </w:t>
      </w:r>
      <w:r w:rsidR="001F27CB">
        <w:rPr>
          <w:rFonts w:cs="Times New Roman"/>
          <w:sz w:val="24"/>
          <w:szCs w:val="24"/>
        </w:rPr>
        <w:t>Organized labor has historically been a strong base for the ANC since the first days of the anti-apartheid movement, but the ANC has been criticized for its economic policies which tend to favor a market approach that benefits big business rather than laborers.</w:t>
      </w:r>
      <w:r w:rsidR="001F27CB">
        <w:rPr>
          <w:rStyle w:val="FootnoteReference"/>
          <w:rFonts w:cs="Times New Roman"/>
          <w:sz w:val="24"/>
          <w:szCs w:val="24"/>
        </w:rPr>
        <w:footnoteReference w:id="271"/>
      </w:r>
      <w:r w:rsidR="001F27CB">
        <w:rPr>
          <w:rFonts w:cs="Times New Roman"/>
          <w:sz w:val="24"/>
          <w:szCs w:val="24"/>
        </w:rPr>
        <w:t xml:space="preserve"> </w:t>
      </w:r>
      <w:r w:rsidR="00BE1C77">
        <w:rPr>
          <w:rFonts w:cs="Times New Roman"/>
          <w:sz w:val="24"/>
          <w:szCs w:val="24"/>
        </w:rPr>
        <w:t xml:space="preserve">There has been some </w:t>
      </w:r>
      <w:r w:rsidR="00BE1C77">
        <w:rPr>
          <w:rFonts w:cs="Times New Roman"/>
          <w:sz w:val="24"/>
          <w:szCs w:val="24"/>
        </w:rPr>
        <w:lastRenderedPageBreak/>
        <w:t>economic growth, but not enough to sustain the population.</w:t>
      </w:r>
      <w:r w:rsidR="00BE1C77">
        <w:rPr>
          <w:rStyle w:val="FootnoteReference"/>
          <w:rFonts w:cs="Times New Roman"/>
          <w:sz w:val="24"/>
          <w:szCs w:val="24"/>
        </w:rPr>
        <w:footnoteReference w:id="272"/>
      </w:r>
      <w:r w:rsidR="00BE1C77">
        <w:rPr>
          <w:rFonts w:cs="Times New Roman"/>
          <w:sz w:val="24"/>
          <w:szCs w:val="24"/>
        </w:rPr>
        <w:t xml:space="preserve"> </w:t>
      </w:r>
      <w:r w:rsidR="00633FB0">
        <w:rPr>
          <w:rFonts w:cs="Times New Roman"/>
          <w:sz w:val="24"/>
          <w:szCs w:val="24"/>
        </w:rPr>
        <w:t>Some also criticize continued political marginalization of certain groups because of the persistence of pockets of nondemocratic power, like</w:t>
      </w:r>
      <w:r w:rsidR="000942ED">
        <w:rPr>
          <w:rFonts w:cs="Times New Roman"/>
          <w:sz w:val="24"/>
          <w:szCs w:val="24"/>
        </w:rPr>
        <w:t xml:space="preserve"> those dominated by "shacklords;</w:t>
      </w:r>
      <w:r w:rsidR="00633FB0">
        <w:rPr>
          <w:rFonts w:cs="Times New Roman"/>
          <w:sz w:val="24"/>
          <w:szCs w:val="24"/>
        </w:rPr>
        <w:t>" the limited official tolerance of dissen</w:t>
      </w:r>
      <w:r w:rsidR="000942ED">
        <w:rPr>
          <w:rFonts w:cs="Times New Roman"/>
          <w:sz w:val="24"/>
          <w:szCs w:val="24"/>
        </w:rPr>
        <w:t>t outside of mainstream avenues;</w:t>
      </w:r>
      <w:r w:rsidR="00633FB0">
        <w:rPr>
          <w:rFonts w:cs="Times New Roman"/>
          <w:sz w:val="24"/>
          <w:szCs w:val="24"/>
        </w:rPr>
        <w:t xml:space="preserve"> and the inability of the poverty-stricken – about 40 percent of society – to effectively participate in the political process outside</w:t>
      </w:r>
      <w:r w:rsidR="000942ED">
        <w:rPr>
          <w:rFonts w:cs="Times New Roman"/>
          <w:sz w:val="24"/>
          <w:szCs w:val="24"/>
        </w:rPr>
        <w:t xml:space="preserve"> of periodic elections</w:t>
      </w:r>
      <w:r w:rsidR="00633FB0">
        <w:rPr>
          <w:rFonts w:cs="Times New Roman"/>
          <w:sz w:val="24"/>
          <w:szCs w:val="24"/>
        </w:rPr>
        <w:t xml:space="preserve"> due to a lack of resources to affect mobilization</w:t>
      </w:r>
      <w:r w:rsidR="00633FB0" w:rsidRPr="000942ED">
        <w:rPr>
          <w:rFonts w:cs="Times New Roman"/>
          <w:sz w:val="24"/>
          <w:szCs w:val="24"/>
        </w:rPr>
        <w:t>.</w:t>
      </w:r>
      <w:r w:rsidR="0087638F" w:rsidRPr="000942ED">
        <w:rPr>
          <w:rStyle w:val="FootnoteReference"/>
          <w:sz w:val="24"/>
          <w:szCs w:val="24"/>
        </w:rPr>
        <w:footnoteReference w:id="273"/>
      </w:r>
      <w:r w:rsidR="000942ED">
        <w:rPr>
          <w:rFonts w:cs="Times New Roman"/>
          <w:sz w:val="24"/>
          <w:szCs w:val="24"/>
        </w:rPr>
        <w:t xml:space="preserve"> South Africa's current political problems include</w:t>
      </w:r>
      <w:r w:rsidR="000942ED" w:rsidRPr="004451F9">
        <w:rPr>
          <w:rFonts w:cs="Times New Roman"/>
          <w:sz w:val="24"/>
          <w:szCs w:val="24"/>
        </w:rPr>
        <w:t xml:space="preserve"> continued drastic income disparities, slow economic growth, unemployment as high as 40 percent among blacks, "one of the highest and most violent crime rates on earth" and "the highest number of [HIV] infected persons anywhere i</w:t>
      </w:r>
      <w:r w:rsidR="000942ED">
        <w:rPr>
          <w:rFonts w:cs="Times New Roman"/>
          <w:sz w:val="24"/>
          <w:szCs w:val="24"/>
        </w:rPr>
        <w:t>n the world" (with 4.7 million).</w:t>
      </w:r>
      <w:r w:rsidR="000942ED" w:rsidRPr="00512109">
        <w:rPr>
          <w:rStyle w:val="FootnoteReference"/>
          <w:rFonts w:cs="Times New Roman"/>
          <w:sz w:val="24"/>
          <w:szCs w:val="24"/>
        </w:rPr>
        <w:t xml:space="preserve"> </w:t>
      </w:r>
      <w:r w:rsidR="000942ED" w:rsidRPr="004451F9">
        <w:rPr>
          <w:rStyle w:val="FootnoteReference"/>
          <w:rFonts w:cs="Times New Roman"/>
          <w:sz w:val="24"/>
          <w:szCs w:val="24"/>
        </w:rPr>
        <w:footnoteReference w:id="274"/>
      </w:r>
      <w:r w:rsidR="000942ED">
        <w:rPr>
          <w:rFonts w:cs="Times New Roman"/>
          <w:sz w:val="24"/>
          <w:szCs w:val="24"/>
        </w:rPr>
        <w:t xml:space="preserve"> L</w:t>
      </w:r>
      <w:r w:rsidR="000942ED" w:rsidRPr="004451F9">
        <w:rPr>
          <w:rFonts w:cs="Times New Roman"/>
          <w:sz w:val="24"/>
          <w:szCs w:val="24"/>
        </w:rPr>
        <w:t>arge populat</w:t>
      </w:r>
      <w:r w:rsidR="000942ED">
        <w:rPr>
          <w:rFonts w:cs="Times New Roman"/>
          <w:sz w:val="24"/>
          <w:szCs w:val="24"/>
        </w:rPr>
        <w:t>ions of nonindigenous groups – m</w:t>
      </w:r>
      <w:r w:rsidR="000942ED" w:rsidRPr="004451F9">
        <w:rPr>
          <w:rFonts w:cs="Times New Roman"/>
          <w:sz w:val="24"/>
          <w:szCs w:val="24"/>
        </w:rPr>
        <w:t>a</w:t>
      </w:r>
      <w:r w:rsidR="000942ED">
        <w:rPr>
          <w:rFonts w:cs="Times New Roman"/>
          <w:sz w:val="24"/>
          <w:szCs w:val="24"/>
        </w:rPr>
        <w:t>inly whites but also Indians – c</w:t>
      </w:r>
      <w:r w:rsidR="000942ED" w:rsidRPr="004451F9">
        <w:rPr>
          <w:rFonts w:cs="Times New Roman"/>
          <w:sz w:val="24"/>
          <w:szCs w:val="24"/>
        </w:rPr>
        <w:t>ontrol much of the wealth and productive capacity.</w:t>
      </w:r>
      <w:r w:rsidR="000942ED">
        <w:rPr>
          <w:rStyle w:val="FootnoteReference"/>
          <w:rFonts w:cs="Times New Roman"/>
          <w:sz w:val="24"/>
          <w:szCs w:val="24"/>
        </w:rPr>
        <w:footnoteReference w:id="275"/>
      </w:r>
      <w:r w:rsidR="000942ED" w:rsidRPr="004451F9">
        <w:rPr>
          <w:rFonts w:cs="Times New Roman"/>
          <w:sz w:val="24"/>
          <w:szCs w:val="24"/>
        </w:rPr>
        <w:t xml:space="preserve"> </w:t>
      </w:r>
      <w:r w:rsidR="000942ED">
        <w:rPr>
          <w:rFonts w:cs="Times New Roman"/>
          <w:sz w:val="24"/>
          <w:szCs w:val="24"/>
        </w:rPr>
        <w:t>In addition, p</w:t>
      </w:r>
      <w:r w:rsidR="000942ED" w:rsidRPr="004451F9">
        <w:rPr>
          <w:rFonts w:cs="Times New Roman"/>
          <w:sz w:val="24"/>
          <w:szCs w:val="24"/>
        </w:rPr>
        <w:t>erceived failures of the Truth and Reconciliation Commission have "led to bitterness and disillusionment in a substantial segment of the black community and among some members of the white population as well."</w:t>
      </w:r>
      <w:r w:rsidR="000942ED" w:rsidRPr="004451F9">
        <w:rPr>
          <w:rStyle w:val="FootnoteReference"/>
          <w:rFonts w:cs="Times New Roman"/>
          <w:sz w:val="24"/>
          <w:szCs w:val="24"/>
        </w:rPr>
        <w:footnoteReference w:id="276"/>
      </w:r>
    </w:p>
    <w:p w:rsidR="002209EE" w:rsidRDefault="002209EE" w:rsidP="002209EE">
      <w:pPr>
        <w:spacing w:after="0" w:line="480" w:lineRule="auto"/>
        <w:ind w:firstLine="720"/>
        <w:rPr>
          <w:rFonts w:cs="Times New Roman"/>
          <w:sz w:val="24"/>
          <w:szCs w:val="24"/>
        </w:rPr>
      </w:pPr>
      <w:r>
        <w:rPr>
          <w:rFonts w:cs="Times New Roman"/>
          <w:sz w:val="24"/>
          <w:szCs w:val="24"/>
        </w:rPr>
        <w:t xml:space="preserve">The ANC's power is extremely entrenched, however, and it has decades of experience as a national movement to draw upon in developing political bases. </w:t>
      </w:r>
      <w:r w:rsidRPr="005F01D1">
        <w:rPr>
          <w:rFonts w:cs="Times New Roman"/>
          <w:sz w:val="24"/>
          <w:szCs w:val="24"/>
        </w:rPr>
        <w:t>A study of grassroots organization indicated that the ANC was highly mobilized, at least according to participation in some of their volunteer activities and access to leadership positions at their branch offices.</w:t>
      </w:r>
      <w:r>
        <w:rPr>
          <w:rStyle w:val="FootnoteReference"/>
          <w:rFonts w:cs="Times New Roman"/>
          <w:sz w:val="24"/>
          <w:szCs w:val="24"/>
        </w:rPr>
        <w:footnoteReference w:id="277"/>
      </w:r>
      <w:r w:rsidRPr="005F01D1">
        <w:rPr>
          <w:rFonts w:cs="Times New Roman"/>
          <w:sz w:val="24"/>
          <w:szCs w:val="24"/>
        </w:rPr>
        <w:t xml:space="preserve"> </w:t>
      </w:r>
      <w:r>
        <w:rPr>
          <w:rFonts w:cs="Times New Roman"/>
          <w:sz w:val="24"/>
          <w:szCs w:val="24"/>
        </w:rPr>
        <w:t>O</w:t>
      </w:r>
      <w:r w:rsidRPr="005F01D1">
        <w:rPr>
          <w:rFonts w:cs="Times New Roman"/>
          <w:sz w:val="24"/>
          <w:szCs w:val="24"/>
        </w:rPr>
        <w:t xml:space="preserve">ther </w:t>
      </w:r>
      <w:r>
        <w:rPr>
          <w:rFonts w:cs="Times New Roman"/>
          <w:sz w:val="24"/>
          <w:szCs w:val="24"/>
        </w:rPr>
        <w:t>factors indicated</w:t>
      </w:r>
      <w:r w:rsidRPr="005F01D1">
        <w:rPr>
          <w:rFonts w:cs="Times New Roman"/>
          <w:sz w:val="24"/>
          <w:szCs w:val="24"/>
        </w:rPr>
        <w:t xml:space="preserve"> that some people felt more </w:t>
      </w:r>
      <w:r w:rsidRPr="002209EE">
        <w:rPr>
          <w:rFonts w:cs="Times New Roman"/>
          <w:i/>
          <w:sz w:val="24"/>
          <w:szCs w:val="24"/>
        </w:rPr>
        <w:t>compelled</w:t>
      </w:r>
      <w:r w:rsidRPr="005F01D1">
        <w:rPr>
          <w:rFonts w:cs="Times New Roman"/>
          <w:sz w:val="24"/>
          <w:szCs w:val="24"/>
        </w:rPr>
        <w:t xml:space="preserve"> to participate, with some even </w:t>
      </w:r>
      <w:r w:rsidRPr="005F01D1">
        <w:rPr>
          <w:rFonts w:cs="Times New Roman"/>
          <w:sz w:val="24"/>
          <w:szCs w:val="24"/>
        </w:rPr>
        <w:lastRenderedPageBreak/>
        <w:t>suggesting that ANC membership was requisite to getting housing subsidies.</w:t>
      </w:r>
      <w:r>
        <w:rPr>
          <w:rStyle w:val="FootnoteReference"/>
          <w:rFonts w:cs="Times New Roman"/>
          <w:sz w:val="24"/>
          <w:szCs w:val="24"/>
        </w:rPr>
        <w:footnoteReference w:id="278"/>
      </w:r>
      <w:r w:rsidRPr="005F01D1">
        <w:rPr>
          <w:rFonts w:cs="Times New Roman"/>
          <w:sz w:val="24"/>
          <w:szCs w:val="24"/>
        </w:rPr>
        <w:t xml:space="preserve"> </w:t>
      </w:r>
      <w:r>
        <w:rPr>
          <w:rFonts w:cs="Times New Roman"/>
          <w:sz w:val="24"/>
          <w:szCs w:val="24"/>
        </w:rPr>
        <w:t>Without serious rivals in grassroots</w:t>
      </w:r>
      <w:r w:rsidRPr="005F01D1">
        <w:rPr>
          <w:rFonts w:cs="Times New Roman"/>
          <w:sz w:val="24"/>
          <w:szCs w:val="24"/>
        </w:rPr>
        <w:t xml:space="preserve"> efforts, however, the ANC is likely to continue its grip on power.</w:t>
      </w:r>
      <w:r>
        <w:rPr>
          <w:rStyle w:val="FootnoteReference"/>
          <w:rFonts w:cs="Times New Roman"/>
          <w:sz w:val="24"/>
          <w:szCs w:val="24"/>
        </w:rPr>
        <w:footnoteReference w:id="279"/>
      </w:r>
      <w:r w:rsidRPr="00FC45AE">
        <w:rPr>
          <w:rFonts w:cs="Times New Roman"/>
          <w:sz w:val="24"/>
          <w:szCs w:val="24"/>
        </w:rPr>
        <w:t>As the ANC has grown and expanded through rural and provincial networks, it is vulnerable to factioning and splits, but these splits tend to occur</w:t>
      </w:r>
      <w:r>
        <w:rPr>
          <w:rFonts w:cs="Times New Roman"/>
          <w:sz w:val="24"/>
          <w:szCs w:val="24"/>
        </w:rPr>
        <w:t xml:space="preserve"> </w:t>
      </w:r>
      <w:r w:rsidRPr="00FC45AE">
        <w:rPr>
          <w:rFonts w:cs="Times New Roman"/>
          <w:sz w:val="24"/>
          <w:szCs w:val="24"/>
        </w:rPr>
        <w:t>along ethnic identity lines</w:t>
      </w:r>
      <w:r>
        <w:rPr>
          <w:rFonts w:cs="Times New Roman"/>
          <w:sz w:val="24"/>
          <w:szCs w:val="24"/>
        </w:rPr>
        <w:t xml:space="preserve"> rather than ideological lines</w:t>
      </w:r>
      <w:r w:rsidRPr="00FC45AE">
        <w:rPr>
          <w:rFonts w:cs="Times New Roman"/>
          <w:sz w:val="24"/>
          <w:szCs w:val="24"/>
        </w:rPr>
        <w:t>.</w:t>
      </w:r>
      <w:r>
        <w:rPr>
          <w:rStyle w:val="FootnoteReference"/>
          <w:rFonts w:cs="Times New Roman"/>
          <w:sz w:val="24"/>
          <w:szCs w:val="24"/>
        </w:rPr>
        <w:footnoteReference w:id="280"/>
      </w:r>
      <w:r>
        <w:rPr>
          <w:rFonts w:cs="Times New Roman"/>
          <w:sz w:val="24"/>
          <w:szCs w:val="24"/>
        </w:rPr>
        <w:t xml:space="preserve"> The </w:t>
      </w:r>
      <w:r w:rsidRPr="00FC45AE">
        <w:rPr>
          <w:rFonts w:cs="Times New Roman"/>
          <w:sz w:val="24"/>
          <w:szCs w:val="24"/>
        </w:rPr>
        <w:t xml:space="preserve">ANC has expanded welfare policies largely in response to demands of its new rural poor constituency, and </w:t>
      </w:r>
      <w:r>
        <w:rPr>
          <w:rFonts w:cs="Times New Roman"/>
          <w:sz w:val="24"/>
          <w:szCs w:val="24"/>
        </w:rPr>
        <w:t>some believe</w:t>
      </w:r>
      <w:r w:rsidRPr="00FC45AE">
        <w:rPr>
          <w:rFonts w:cs="Times New Roman"/>
          <w:sz w:val="24"/>
          <w:szCs w:val="24"/>
        </w:rPr>
        <w:t xml:space="preserve"> such pressures can help foster more competition.</w:t>
      </w:r>
      <w:r>
        <w:rPr>
          <w:rStyle w:val="FootnoteReference"/>
          <w:rFonts w:cs="Times New Roman"/>
          <w:sz w:val="24"/>
          <w:szCs w:val="24"/>
        </w:rPr>
        <w:footnoteReference w:id="281"/>
      </w:r>
      <w:r w:rsidRPr="00FC45AE">
        <w:rPr>
          <w:rFonts w:cs="Times New Roman"/>
          <w:sz w:val="24"/>
          <w:szCs w:val="24"/>
        </w:rPr>
        <w:t xml:space="preserve"> Any potential crack in the ANC's power hold would likely come in the form of disagreement among party leaders resulting in weak leadership.</w:t>
      </w:r>
      <w:r>
        <w:rPr>
          <w:rStyle w:val="FootnoteReference"/>
          <w:rFonts w:cs="Times New Roman"/>
          <w:sz w:val="24"/>
          <w:szCs w:val="24"/>
        </w:rPr>
        <w:footnoteReference w:id="282"/>
      </w:r>
      <w:r w:rsidRPr="00FC45AE">
        <w:rPr>
          <w:rFonts w:cs="Times New Roman"/>
          <w:sz w:val="24"/>
          <w:szCs w:val="24"/>
        </w:rPr>
        <w:t xml:space="preserve"> The ANC black middle class constituency largely benefits from affirmative action policies implemented by the party and i</w:t>
      </w:r>
      <w:r>
        <w:rPr>
          <w:rFonts w:cs="Times New Roman"/>
          <w:sz w:val="24"/>
          <w:szCs w:val="24"/>
        </w:rPr>
        <w:t>s also unlikely to defect.</w:t>
      </w:r>
      <w:r>
        <w:rPr>
          <w:rStyle w:val="FootnoteReference"/>
          <w:rFonts w:cs="Times New Roman"/>
          <w:sz w:val="24"/>
          <w:szCs w:val="24"/>
        </w:rPr>
        <w:footnoteReference w:id="283"/>
      </w:r>
      <w:r>
        <w:rPr>
          <w:rFonts w:cs="Times New Roman"/>
          <w:sz w:val="24"/>
          <w:szCs w:val="24"/>
        </w:rPr>
        <w:t xml:space="preserve"> </w:t>
      </w:r>
    </w:p>
    <w:p w:rsidR="002209EE" w:rsidRDefault="00324258" w:rsidP="002209EE">
      <w:pPr>
        <w:spacing w:after="0" w:line="480" w:lineRule="auto"/>
        <w:ind w:firstLine="720"/>
        <w:rPr>
          <w:rFonts w:cs="Times New Roman"/>
          <w:sz w:val="24"/>
          <w:szCs w:val="24"/>
        </w:rPr>
      </w:pPr>
      <w:r>
        <w:rPr>
          <w:rFonts w:cs="Times New Roman"/>
          <w:sz w:val="24"/>
          <w:szCs w:val="24"/>
        </w:rPr>
        <w:t>The ANC's only potential challenger at this point is the Democratic Alliance (DA), which is a mostly white, conservative party</w:t>
      </w:r>
      <w:r w:rsidR="00F210A9">
        <w:rPr>
          <w:rFonts w:cs="Times New Roman"/>
          <w:sz w:val="24"/>
          <w:szCs w:val="24"/>
        </w:rPr>
        <w:t xml:space="preserve"> – having acquired most of the former ruling </w:t>
      </w:r>
      <w:r w:rsidR="00341BFD">
        <w:rPr>
          <w:rFonts w:cs="Times New Roman"/>
          <w:sz w:val="24"/>
          <w:szCs w:val="24"/>
        </w:rPr>
        <w:t>NP</w:t>
      </w:r>
      <w:r w:rsidR="00F210A9">
        <w:rPr>
          <w:rFonts w:cs="Times New Roman"/>
          <w:sz w:val="24"/>
          <w:szCs w:val="24"/>
        </w:rPr>
        <w:t xml:space="preserve">'s members – </w:t>
      </w:r>
      <w:r>
        <w:rPr>
          <w:rFonts w:cs="Times New Roman"/>
          <w:sz w:val="24"/>
          <w:szCs w:val="24"/>
        </w:rPr>
        <w:t>that began recruiting "coloreds," including blacks and Indians, in 1984.</w:t>
      </w:r>
      <w:r>
        <w:rPr>
          <w:rStyle w:val="FootnoteReference"/>
          <w:rFonts w:cs="Times New Roman"/>
          <w:sz w:val="24"/>
          <w:szCs w:val="24"/>
        </w:rPr>
        <w:footnoteReference w:id="284"/>
      </w:r>
      <w:r>
        <w:rPr>
          <w:rFonts w:cs="Times New Roman"/>
          <w:sz w:val="24"/>
          <w:szCs w:val="24"/>
        </w:rPr>
        <w:t xml:space="preserve"> The DA has campaigned in the past on an anti-affirmative action and anti-crime platform.</w:t>
      </w:r>
      <w:r>
        <w:rPr>
          <w:rStyle w:val="FootnoteReference"/>
          <w:rFonts w:cs="Times New Roman"/>
          <w:sz w:val="24"/>
          <w:szCs w:val="24"/>
        </w:rPr>
        <w:footnoteReference w:id="285"/>
      </w:r>
      <w:r>
        <w:rPr>
          <w:rFonts w:cs="Times New Roman"/>
          <w:sz w:val="24"/>
          <w:szCs w:val="24"/>
        </w:rPr>
        <w:t xml:space="preserve"> </w:t>
      </w:r>
      <w:r w:rsidR="002209EE" w:rsidRPr="007576E6">
        <w:rPr>
          <w:rFonts w:cs="Times New Roman"/>
          <w:sz w:val="24"/>
          <w:szCs w:val="24"/>
        </w:rPr>
        <w:t>Despite effective organization, infrastructure, and representation, the DA is crippled by its inability to produce popular black candidates, as defectors from traditionally black parties tend to start their own parties rather than join DA.</w:t>
      </w:r>
      <w:r w:rsidR="004C5482">
        <w:rPr>
          <w:rStyle w:val="FootnoteReference"/>
          <w:rFonts w:cs="Times New Roman"/>
          <w:sz w:val="24"/>
          <w:szCs w:val="24"/>
        </w:rPr>
        <w:footnoteReference w:id="286"/>
      </w:r>
      <w:r w:rsidR="004C5482">
        <w:rPr>
          <w:rFonts w:cs="Times New Roman"/>
          <w:sz w:val="24"/>
          <w:szCs w:val="24"/>
        </w:rPr>
        <w:t xml:space="preserve"> The DA has attempted to grow its base of black Africans and by </w:t>
      </w:r>
      <w:r w:rsidR="004C5482">
        <w:rPr>
          <w:rFonts w:cs="Times New Roman"/>
          <w:sz w:val="24"/>
          <w:szCs w:val="24"/>
        </w:rPr>
        <w:lastRenderedPageBreak/>
        <w:t>2001 had established "</w:t>
      </w:r>
      <w:r w:rsidR="004C5482" w:rsidRPr="00CB612B">
        <w:rPr>
          <w:rFonts w:cs="Times New Roman"/>
          <w:sz w:val="24"/>
          <w:szCs w:val="24"/>
        </w:rPr>
        <w:t>146 branches in black communities</w:t>
      </w:r>
      <w:r w:rsidR="004C5482">
        <w:rPr>
          <w:rFonts w:cs="Times New Roman"/>
          <w:sz w:val="24"/>
          <w:szCs w:val="24"/>
        </w:rPr>
        <w:t>" with plans to create an additional 100.</w:t>
      </w:r>
      <w:r w:rsidR="004C5482">
        <w:rPr>
          <w:rStyle w:val="FootnoteReference"/>
          <w:rFonts w:cs="Times New Roman"/>
          <w:sz w:val="24"/>
          <w:szCs w:val="24"/>
        </w:rPr>
        <w:footnoteReference w:id="287"/>
      </w:r>
      <w:r w:rsidR="004C5482">
        <w:rPr>
          <w:rFonts w:cs="Times New Roman"/>
          <w:sz w:val="24"/>
          <w:szCs w:val="24"/>
        </w:rPr>
        <w:t xml:space="preserve"> "[T]</w:t>
      </w:r>
      <w:r w:rsidR="004C5482" w:rsidRPr="005F01D1">
        <w:rPr>
          <w:rFonts w:cs="Times New Roman"/>
          <w:sz w:val="24"/>
          <w:szCs w:val="24"/>
        </w:rPr>
        <w:t>he DA's black members tend to be working class and educated, and a main impetus for joining is perceived corruption of the ANC as well as the feeling that the DA is the only viable challenger to the ANC.</w:t>
      </w:r>
      <w:r w:rsidR="004C5482">
        <w:rPr>
          <w:rFonts w:cs="Times New Roman"/>
          <w:sz w:val="24"/>
          <w:szCs w:val="24"/>
        </w:rPr>
        <w:t>"</w:t>
      </w:r>
      <w:r w:rsidR="004C5482">
        <w:rPr>
          <w:rStyle w:val="FootnoteReference"/>
          <w:rFonts w:cs="Times New Roman"/>
          <w:sz w:val="24"/>
          <w:szCs w:val="24"/>
        </w:rPr>
        <w:footnoteReference w:id="288"/>
      </w:r>
      <w:r w:rsidR="004C5482">
        <w:rPr>
          <w:rFonts w:cs="Times New Roman"/>
          <w:sz w:val="24"/>
          <w:szCs w:val="24"/>
        </w:rPr>
        <w:t xml:space="preserve"> The party has increased its</w:t>
      </w:r>
      <w:r w:rsidR="004C5482" w:rsidRPr="001C6BB1">
        <w:rPr>
          <w:rFonts w:cs="Times New Roman"/>
          <w:sz w:val="24"/>
          <w:szCs w:val="24"/>
        </w:rPr>
        <w:t xml:space="preserve"> share of the black vote in municipal and local elections </w:t>
      </w:r>
      <w:r w:rsidR="004C5482">
        <w:rPr>
          <w:rFonts w:cs="Times New Roman"/>
          <w:sz w:val="24"/>
          <w:szCs w:val="24"/>
        </w:rPr>
        <w:t>–</w:t>
      </w:r>
      <w:r w:rsidR="004C5482" w:rsidRPr="001C6BB1">
        <w:rPr>
          <w:rFonts w:cs="Times New Roman"/>
          <w:sz w:val="24"/>
          <w:szCs w:val="24"/>
        </w:rPr>
        <w:t xml:space="preserve"> in the 2006 municipal elections, "the DA took more than 40 percent of the colored vote in Cape Town, double the proportion supporting the ANC, and emerged there as the largest party."</w:t>
      </w:r>
      <w:r w:rsidR="004C5482">
        <w:rPr>
          <w:rStyle w:val="FootnoteReference"/>
          <w:rFonts w:cs="Times New Roman"/>
          <w:sz w:val="24"/>
          <w:szCs w:val="24"/>
        </w:rPr>
        <w:footnoteReference w:id="289"/>
      </w:r>
      <w:r w:rsidR="004C5482" w:rsidRPr="001C6BB1">
        <w:rPr>
          <w:rFonts w:cs="Times New Roman"/>
          <w:sz w:val="24"/>
          <w:szCs w:val="24"/>
        </w:rPr>
        <w:t xml:space="preserve"> But the </w:t>
      </w:r>
      <w:r w:rsidR="004C5482">
        <w:rPr>
          <w:rFonts w:cs="Times New Roman"/>
          <w:sz w:val="24"/>
          <w:szCs w:val="24"/>
        </w:rPr>
        <w:t>DA</w:t>
      </w:r>
      <w:r w:rsidR="004C5482" w:rsidRPr="001C6BB1">
        <w:rPr>
          <w:rFonts w:cs="Times New Roman"/>
          <w:sz w:val="24"/>
          <w:szCs w:val="24"/>
        </w:rPr>
        <w:t xml:space="preserve"> garners </w:t>
      </w:r>
      <w:r w:rsidR="004C5482">
        <w:rPr>
          <w:rFonts w:cs="Times New Roman"/>
          <w:sz w:val="24"/>
          <w:szCs w:val="24"/>
        </w:rPr>
        <w:t xml:space="preserve">only </w:t>
      </w:r>
      <w:r w:rsidR="004C5482" w:rsidRPr="001C6BB1">
        <w:rPr>
          <w:rFonts w:cs="Times New Roman"/>
          <w:sz w:val="24"/>
          <w:szCs w:val="24"/>
        </w:rPr>
        <w:t>a tiny fraction of the black vote in national elections, and its leadership is still comprised of mostly whites.</w:t>
      </w:r>
      <w:r w:rsidR="004C5482">
        <w:rPr>
          <w:rStyle w:val="FootnoteReference"/>
          <w:rFonts w:cs="Times New Roman"/>
          <w:sz w:val="24"/>
          <w:szCs w:val="24"/>
        </w:rPr>
        <w:footnoteReference w:id="290"/>
      </w:r>
      <w:r w:rsidR="004C5482">
        <w:rPr>
          <w:rFonts w:cs="Times New Roman"/>
          <w:sz w:val="24"/>
          <w:szCs w:val="24"/>
        </w:rPr>
        <w:t xml:space="preserve"> Furthermore, the DA's efforts at diversification have been undermined by "[f]</w:t>
      </w:r>
      <w:r w:rsidR="004C5482" w:rsidRPr="00C87E1B">
        <w:rPr>
          <w:rFonts w:cs="Times New Roman"/>
          <w:sz w:val="24"/>
          <w:szCs w:val="24"/>
        </w:rPr>
        <w:t xml:space="preserve">loor-crossing legislation enacted in 2003 </w:t>
      </w:r>
      <w:r w:rsidR="004C5482">
        <w:rPr>
          <w:rFonts w:cs="Times New Roman"/>
          <w:sz w:val="24"/>
          <w:szCs w:val="24"/>
        </w:rPr>
        <w:t xml:space="preserve">[that] </w:t>
      </w:r>
      <w:r w:rsidR="004C5482" w:rsidRPr="00C87E1B">
        <w:rPr>
          <w:rFonts w:cs="Times New Roman"/>
          <w:sz w:val="24"/>
          <w:szCs w:val="24"/>
        </w:rPr>
        <w:t>allows parliamentarians to change their par</w:t>
      </w:r>
      <w:r w:rsidR="004C5482">
        <w:rPr>
          <w:rFonts w:cs="Times New Roman"/>
          <w:sz w:val="24"/>
          <w:szCs w:val="24"/>
        </w:rPr>
        <w:t>ty affiliation during two-week 'window periods.'</w:t>
      </w:r>
      <w:r w:rsidR="004C5482" w:rsidRPr="00C87E1B">
        <w:rPr>
          <w:rFonts w:cs="Times New Roman"/>
          <w:sz w:val="24"/>
          <w:szCs w:val="24"/>
        </w:rPr>
        <w:t xml:space="preserve"> To date, floor-crossing has favored</w:t>
      </w:r>
      <w:r w:rsidR="004C5482">
        <w:rPr>
          <w:rFonts w:cs="Times New Roman"/>
          <w:sz w:val="24"/>
          <w:szCs w:val="24"/>
        </w:rPr>
        <w:t xml:space="preserve"> </w:t>
      </w:r>
      <w:r w:rsidR="004C5482" w:rsidRPr="00C87E1B">
        <w:rPr>
          <w:rFonts w:cs="Times New Roman"/>
          <w:sz w:val="24"/>
          <w:szCs w:val="24"/>
        </w:rPr>
        <w:t>the ruling party and has fragmented the opposition.</w:t>
      </w:r>
      <w:r w:rsidR="004C5482">
        <w:rPr>
          <w:rFonts w:cs="Times New Roman"/>
          <w:sz w:val="24"/>
          <w:szCs w:val="24"/>
        </w:rPr>
        <w:t>"</w:t>
      </w:r>
      <w:r w:rsidR="004C5482">
        <w:rPr>
          <w:rStyle w:val="FootnoteReference"/>
          <w:rFonts w:cs="Times New Roman"/>
          <w:sz w:val="24"/>
          <w:szCs w:val="24"/>
        </w:rPr>
        <w:footnoteReference w:id="291"/>
      </w:r>
    </w:p>
    <w:p w:rsidR="00324258" w:rsidRPr="000942ED" w:rsidRDefault="004C5482" w:rsidP="004C5482">
      <w:pPr>
        <w:spacing w:after="0" w:line="480" w:lineRule="auto"/>
        <w:ind w:firstLine="720"/>
        <w:rPr>
          <w:rFonts w:cs="Times New Roman"/>
          <w:sz w:val="24"/>
          <w:szCs w:val="24"/>
        </w:rPr>
      </w:pPr>
      <w:r>
        <w:rPr>
          <w:rFonts w:cs="Times New Roman"/>
          <w:sz w:val="24"/>
          <w:szCs w:val="24"/>
        </w:rPr>
        <w:t>The other main opposition party is the Inkatha Freedom Party (IFP), which is primarily an ethnic-based Zulu party, although it has tried to recharacterize itself as a national party and successfully advanced several non-Zulu candidates.</w:t>
      </w:r>
      <w:r>
        <w:rPr>
          <w:rStyle w:val="FootnoteReference"/>
          <w:rFonts w:cs="Times New Roman"/>
          <w:sz w:val="24"/>
          <w:szCs w:val="24"/>
        </w:rPr>
        <w:footnoteReference w:id="292"/>
      </w:r>
      <w:r>
        <w:rPr>
          <w:rFonts w:cs="Times New Roman"/>
          <w:sz w:val="24"/>
          <w:szCs w:val="24"/>
        </w:rPr>
        <w:t xml:space="preserve"> </w:t>
      </w:r>
      <w:r w:rsidR="00F210A9">
        <w:rPr>
          <w:rFonts w:cs="Times New Roman"/>
          <w:sz w:val="24"/>
          <w:szCs w:val="24"/>
        </w:rPr>
        <w:t>The IFP and the ANC have a decade-long bloody history from a mid-1980s competition for regional dominance.</w:t>
      </w:r>
      <w:r w:rsidR="00F210A9">
        <w:rPr>
          <w:rStyle w:val="FootnoteReference"/>
          <w:rFonts w:cs="Times New Roman"/>
          <w:sz w:val="24"/>
          <w:szCs w:val="24"/>
        </w:rPr>
        <w:footnoteReference w:id="293"/>
      </w:r>
      <w:r w:rsidR="00F210A9">
        <w:rPr>
          <w:rFonts w:cs="Times New Roman"/>
          <w:sz w:val="24"/>
          <w:szCs w:val="24"/>
        </w:rPr>
        <w:t xml:space="preserve"> </w:t>
      </w:r>
      <w:r>
        <w:rPr>
          <w:rFonts w:cs="Times New Roman"/>
          <w:sz w:val="24"/>
          <w:szCs w:val="24"/>
        </w:rPr>
        <w:t>The IFP</w:t>
      </w:r>
      <w:r w:rsidRPr="007576E6">
        <w:rPr>
          <w:rFonts w:cs="Times New Roman"/>
          <w:sz w:val="24"/>
          <w:szCs w:val="24"/>
        </w:rPr>
        <w:t xml:space="preserve"> has not been able to effectively organize in urban areas except among migrant-worker populations.</w:t>
      </w:r>
      <w:r>
        <w:rPr>
          <w:rStyle w:val="FootnoteReference"/>
          <w:rFonts w:cs="Times New Roman"/>
          <w:sz w:val="24"/>
          <w:szCs w:val="24"/>
        </w:rPr>
        <w:footnoteReference w:id="294"/>
      </w:r>
      <w:r>
        <w:rPr>
          <w:rFonts w:cs="Times New Roman"/>
          <w:sz w:val="24"/>
          <w:szCs w:val="24"/>
        </w:rPr>
        <w:t xml:space="preserve">[165] </w:t>
      </w:r>
      <w:r w:rsidR="00F210A9">
        <w:rPr>
          <w:rFonts w:cs="Times New Roman"/>
          <w:sz w:val="24"/>
          <w:szCs w:val="24"/>
        </w:rPr>
        <w:t xml:space="preserve">More recently, the IFP has lost constituents – </w:t>
      </w:r>
      <w:r w:rsidR="00341BFD">
        <w:rPr>
          <w:rFonts w:cs="Times New Roman"/>
          <w:sz w:val="24"/>
          <w:szCs w:val="24"/>
        </w:rPr>
        <w:t>mostly</w:t>
      </w:r>
      <w:r w:rsidR="00F210A9">
        <w:rPr>
          <w:rFonts w:cs="Times New Roman"/>
          <w:sz w:val="24"/>
          <w:szCs w:val="24"/>
        </w:rPr>
        <w:t xml:space="preserve"> to the ANC – because of its own lack of strong leadership, the ANC's extension of utilities and infrastructure into the former Zulu </w:t>
      </w:r>
      <w:r w:rsidR="00F210A9">
        <w:rPr>
          <w:rFonts w:cs="Times New Roman"/>
          <w:sz w:val="24"/>
          <w:szCs w:val="24"/>
        </w:rPr>
        <w:lastRenderedPageBreak/>
        <w:t xml:space="preserve">kingdom, and its </w:t>
      </w:r>
      <w:r w:rsidR="00F210A9" w:rsidRPr="000942ED">
        <w:rPr>
          <w:rFonts w:cs="Times New Roman"/>
          <w:sz w:val="24"/>
          <w:szCs w:val="24"/>
        </w:rPr>
        <w:t xml:space="preserve">shrinking traditional base due to the </w:t>
      </w:r>
      <w:r w:rsidR="00742AFB" w:rsidRPr="000942ED">
        <w:rPr>
          <w:rFonts w:cs="Times New Roman"/>
          <w:sz w:val="24"/>
          <w:szCs w:val="24"/>
        </w:rPr>
        <w:t>AIDS</w:t>
      </w:r>
      <w:r w:rsidR="00F210A9" w:rsidRPr="000942ED">
        <w:rPr>
          <w:rFonts w:cs="Times New Roman"/>
          <w:sz w:val="24"/>
          <w:szCs w:val="24"/>
        </w:rPr>
        <w:t xml:space="preserve"> epidemic</w:t>
      </w:r>
      <w:r w:rsidR="00742AFB" w:rsidRPr="000942ED">
        <w:rPr>
          <w:rFonts w:cs="Times New Roman"/>
          <w:sz w:val="24"/>
          <w:szCs w:val="24"/>
        </w:rPr>
        <w:t xml:space="preserve"> in South Africa</w:t>
      </w:r>
      <w:r w:rsidR="00F210A9" w:rsidRPr="000942ED">
        <w:rPr>
          <w:rFonts w:cs="Times New Roman"/>
          <w:sz w:val="24"/>
          <w:szCs w:val="24"/>
        </w:rPr>
        <w:t>.</w:t>
      </w:r>
      <w:r w:rsidR="00F210A9" w:rsidRPr="000942ED">
        <w:rPr>
          <w:rStyle w:val="FootnoteReference"/>
          <w:rFonts w:cs="Times New Roman"/>
          <w:sz w:val="24"/>
          <w:szCs w:val="24"/>
        </w:rPr>
        <w:footnoteReference w:id="295"/>
      </w:r>
      <w:r w:rsidR="00C87E1B">
        <w:rPr>
          <w:rFonts w:cs="Times New Roman"/>
          <w:sz w:val="24"/>
          <w:szCs w:val="24"/>
        </w:rPr>
        <w:t xml:space="preserve"> </w:t>
      </w:r>
      <w:r w:rsidR="00FC45AE" w:rsidRPr="00FC45AE">
        <w:rPr>
          <w:rFonts w:cs="Times New Roman"/>
          <w:sz w:val="24"/>
          <w:szCs w:val="24"/>
        </w:rPr>
        <w:t>The ANC's control of government and public resources has helped it develop internal infrastructure and expand its constituent base into poor rural and black middle-class sectors, both of which the ANC now depends on more than its original industrial labor base.</w:t>
      </w:r>
      <w:r w:rsidR="00FC45AE">
        <w:rPr>
          <w:rStyle w:val="FootnoteReference"/>
          <w:rFonts w:cs="Times New Roman"/>
          <w:sz w:val="24"/>
          <w:szCs w:val="24"/>
        </w:rPr>
        <w:footnoteReference w:id="296"/>
      </w:r>
    </w:p>
    <w:p w:rsidR="00A6595C" w:rsidRPr="004451F9" w:rsidRDefault="00B35AC7" w:rsidP="00B35AC7">
      <w:pPr>
        <w:spacing w:after="0" w:line="480" w:lineRule="auto"/>
        <w:rPr>
          <w:rFonts w:cs="Times New Roman"/>
          <w:sz w:val="24"/>
          <w:szCs w:val="24"/>
        </w:rPr>
      </w:pPr>
      <w:r w:rsidRPr="004451F9">
        <w:rPr>
          <w:rFonts w:cs="Times New Roman"/>
          <w:sz w:val="24"/>
          <w:szCs w:val="24"/>
        </w:rPr>
        <w:t xml:space="preserve">B. </w:t>
      </w:r>
      <w:r w:rsidRPr="004451F9">
        <w:rPr>
          <w:rFonts w:cs="Times New Roman"/>
          <w:i/>
          <w:sz w:val="24"/>
          <w:szCs w:val="24"/>
        </w:rPr>
        <w:t>South Africa:</w:t>
      </w:r>
      <w:r w:rsidR="00A6595C" w:rsidRPr="004451F9">
        <w:rPr>
          <w:rFonts w:cs="Times New Roman"/>
          <w:i/>
          <w:sz w:val="24"/>
          <w:szCs w:val="24"/>
        </w:rPr>
        <w:t xml:space="preserve"> Constitutional and Legal Rights and Limitations</w:t>
      </w:r>
    </w:p>
    <w:p w:rsidR="001C6BB1" w:rsidRPr="001C6BB1" w:rsidRDefault="00A6595C" w:rsidP="0038226D">
      <w:pPr>
        <w:spacing w:after="0" w:line="480" w:lineRule="auto"/>
        <w:rPr>
          <w:rFonts w:cs="Times New Roman"/>
          <w:sz w:val="24"/>
          <w:szCs w:val="24"/>
        </w:rPr>
      </w:pPr>
      <w:r w:rsidRPr="004451F9">
        <w:rPr>
          <w:rFonts w:cs="Times New Roman"/>
          <w:b/>
          <w:sz w:val="24"/>
          <w:szCs w:val="24"/>
        </w:rPr>
        <w:tab/>
      </w:r>
      <w:r w:rsidR="001C6BB1">
        <w:rPr>
          <w:rFonts w:cs="Times New Roman"/>
          <w:sz w:val="24"/>
          <w:szCs w:val="24"/>
        </w:rPr>
        <w:t>South Africa's constitution is often praised "as one of the most comprehensive and inclusive constitutions in the world."</w:t>
      </w:r>
      <w:r w:rsidR="001C6BB1">
        <w:rPr>
          <w:rStyle w:val="FootnoteReference"/>
          <w:rFonts w:cs="Times New Roman"/>
          <w:sz w:val="24"/>
          <w:szCs w:val="24"/>
        </w:rPr>
        <w:footnoteReference w:id="297"/>
      </w:r>
      <w:r w:rsidR="001C6BB1">
        <w:rPr>
          <w:rFonts w:cs="Times New Roman"/>
          <w:sz w:val="24"/>
          <w:szCs w:val="24"/>
        </w:rPr>
        <w:t xml:space="preserve"> In practice, however, the democracy it has affected falls far short of its aspirations. </w:t>
      </w:r>
      <w:r w:rsidR="007576E6">
        <w:rPr>
          <w:rFonts w:cs="Times New Roman"/>
          <w:sz w:val="24"/>
          <w:szCs w:val="24"/>
        </w:rPr>
        <w:t xml:space="preserve">Debate remains about whether </w:t>
      </w:r>
      <w:r w:rsidR="0038226D">
        <w:rPr>
          <w:rFonts w:cs="Times New Roman"/>
          <w:sz w:val="24"/>
          <w:szCs w:val="24"/>
        </w:rPr>
        <w:t>the</w:t>
      </w:r>
      <w:r w:rsidR="007576E6">
        <w:rPr>
          <w:rFonts w:cs="Times New Roman"/>
          <w:sz w:val="24"/>
          <w:szCs w:val="24"/>
        </w:rPr>
        <w:t xml:space="preserve"> Bill of Rights is too inclusive, while some critics </w:t>
      </w:r>
      <w:r w:rsidR="0038226D">
        <w:rPr>
          <w:rFonts w:cs="Times New Roman"/>
          <w:sz w:val="24"/>
          <w:szCs w:val="24"/>
        </w:rPr>
        <w:t>deride the constitution specifically for its failure to adequately address party politics and voter representation</w:t>
      </w:r>
      <w:r w:rsidR="007576E6">
        <w:rPr>
          <w:rFonts w:cs="Times New Roman"/>
          <w:sz w:val="24"/>
          <w:szCs w:val="24"/>
        </w:rPr>
        <w:t>.</w:t>
      </w:r>
      <w:r w:rsidR="007576E6">
        <w:rPr>
          <w:rStyle w:val="FootnoteReference"/>
          <w:rFonts w:cs="Times New Roman"/>
          <w:sz w:val="24"/>
          <w:szCs w:val="24"/>
        </w:rPr>
        <w:footnoteReference w:id="298"/>
      </w:r>
      <w:r w:rsidR="0038226D">
        <w:rPr>
          <w:rFonts w:cs="Times New Roman"/>
          <w:sz w:val="24"/>
          <w:szCs w:val="24"/>
        </w:rPr>
        <w:t xml:space="preserve"> "[A]</w:t>
      </w:r>
      <w:r w:rsidR="0038226D" w:rsidRPr="0038226D">
        <w:rPr>
          <w:rFonts w:cs="Times New Roman"/>
          <w:sz w:val="24"/>
          <w:szCs w:val="24"/>
        </w:rPr>
        <w:t>n</w:t>
      </w:r>
      <w:r w:rsidR="0038226D">
        <w:rPr>
          <w:rFonts w:cs="Times New Roman"/>
          <w:sz w:val="24"/>
          <w:szCs w:val="24"/>
        </w:rPr>
        <w:t xml:space="preserve"> </w:t>
      </w:r>
      <w:r w:rsidR="0038226D" w:rsidRPr="0038226D">
        <w:rPr>
          <w:rFonts w:cs="Times New Roman"/>
          <w:sz w:val="24"/>
          <w:szCs w:val="24"/>
        </w:rPr>
        <w:t>internationally praised constitution designed to promote multiparty</w:t>
      </w:r>
      <w:r w:rsidR="0038226D">
        <w:rPr>
          <w:rFonts w:cs="Times New Roman"/>
          <w:sz w:val="24"/>
          <w:szCs w:val="24"/>
        </w:rPr>
        <w:t xml:space="preserve"> </w:t>
      </w:r>
      <w:r w:rsidR="0038226D" w:rsidRPr="0038226D">
        <w:rPr>
          <w:rFonts w:cs="Times New Roman"/>
          <w:sz w:val="24"/>
          <w:szCs w:val="24"/>
        </w:rPr>
        <w:t>competition and individual rights is overshadowed by one-party dominance</w:t>
      </w:r>
      <w:r w:rsidR="0038226D">
        <w:rPr>
          <w:rFonts w:cs="Times New Roman"/>
          <w:sz w:val="24"/>
          <w:szCs w:val="24"/>
        </w:rPr>
        <w:t xml:space="preserve"> </w:t>
      </w:r>
      <w:r w:rsidR="0038226D" w:rsidRPr="0038226D">
        <w:rPr>
          <w:rFonts w:cs="Times New Roman"/>
          <w:sz w:val="24"/>
          <w:szCs w:val="24"/>
        </w:rPr>
        <w:t>and limited governmental accountability</w:t>
      </w:r>
      <w:r w:rsidR="0038226D">
        <w:rPr>
          <w:rFonts w:cs="Times New Roman"/>
          <w:sz w:val="24"/>
          <w:szCs w:val="24"/>
        </w:rPr>
        <w:t>."</w:t>
      </w:r>
      <w:r w:rsidR="0038226D">
        <w:rPr>
          <w:rStyle w:val="FootnoteReference"/>
          <w:rFonts w:cs="Times New Roman"/>
          <w:sz w:val="24"/>
          <w:szCs w:val="24"/>
        </w:rPr>
        <w:footnoteReference w:id="299"/>
      </w:r>
    </w:p>
    <w:p w:rsidR="009D4584" w:rsidRDefault="00DE4BD2" w:rsidP="009F5FB6">
      <w:pPr>
        <w:spacing w:after="0" w:line="480" w:lineRule="auto"/>
        <w:ind w:firstLine="720"/>
        <w:rPr>
          <w:rFonts w:cs="Times New Roman"/>
          <w:sz w:val="24"/>
          <w:szCs w:val="24"/>
        </w:rPr>
      </w:pPr>
      <w:r>
        <w:rPr>
          <w:rFonts w:cs="Times New Roman"/>
          <w:sz w:val="24"/>
          <w:szCs w:val="24"/>
        </w:rPr>
        <w:t>Although the 1993 Interim Constitution guaranteed the freedom to create political parties, t</w:t>
      </w:r>
      <w:r w:rsidR="009D4584">
        <w:rPr>
          <w:rFonts w:cs="Times New Roman"/>
          <w:sz w:val="24"/>
          <w:szCs w:val="24"/>
        </w:rPr>
        <w:t xml:space="preserve">he issue of minority </w:t>
      </w:r>
      <w:r w:rsidR="00462910">
        <w:rPr>
          <w:rFonts w:cs="Times New Roman"/>
          <w:sz w:val="24"/>
          <w:szCs w:val="24"/>
        </w:rPr>
        <w:t xml:space="preserve">party </w:t>
      </w:r>
      <w:r w:rsidR="009D4584">
        <w:rPr>
          <w:rFonts w:cs="Times New Roman"/>
          <w:sz w:val="24"/>
          <w:szCs w:val="24"/>
        </w:rPr>
        <w:t>rights has been a controversial in South Africa since the negotiations over the creation of the new democratic government.</w:t>
      </w:r>
      <w:r w:rsidR="009D4584">
        <w:rPr>
          <w:rStyle w:val="FootnoteReference"/>
          <w:rFonts w:cs="Times New Roman"/>
          <w:sz w:val="24"/>
          <w:szCs w:val="24"/>
        </w:rPr>
        <w:footnoteReference w:id="300"/>
      </w:r>
      <w:r w:rsidR="009D4584">
        <w:rPr>
          <w:rFonts w:cs="Times New Roman"/>
          <w:sz w:val="24"/>
          <w:szCs w:val="24"/>
        </w:rPr>
        <w:t xml:space="preserve"> Radicalized separatist political groups</w:t>
      </w:r>
      <w:r w:rsidR="00462910">
        <w:rPr>
          <w:rFonts w:cs="Times New Roman"/>
          <w:sz w:val="24"/>
          <w:szCs w:val="24"/>
        </w:rPr>
        <w:t>, concerned with their political self-determination,</w:t>
      </w:r>
      <w:r w:rsidR="009D4584">
        <w:rPr>
          <w:rFonts w:cs="Times New Roman"/>
          <w:sz w:val="24"/>
          <w:szCs w:val="24"/>
        </w:rPr>
        <w:t xml:space="preserve"> continue to be an issue within both the Afrikaner population and the IFP in KwaZulu-Natal.</w:t>
      </w:r>
      <w:r w:rsidR="009D4584">
        <w:rPr>
          <w:rStyle w:val="FootnoteReference"/>
          <w:rFonts w:cs="Times New Roman"/>
          <w:sz w:val="24"/>
          <w:szCs w:val="24"/>
        </w:rPr>
        <w:footnoteReference w:id="301"/>
      </w:r>
      <w:r w:rsidR="00455E1E">
        <w:rPr>
          <w:rFonts w:cs="Times New Roman"/>
          <w:sz w:val="24"/>
          <w:szCs w:val="24"/>
        </w:rPr>
        <w:t xml:space="preserve"> T</w:t>
      </w:r>
      <w:r w:rsidR="009F5FB6">
        <w:rPr>
          <w:rFonts w:cs="Times New Roman"/>
          <w:sz w:val="24"/>
          <w:szCs w:val="24"/>
        </w:rPr>
        <w:t xml:space="preserve">he </w:t>
      </w:r>
      <w:r>
        <w:rPr>
          <w:rFonts w:cs="Times New Roman"/>
          <w:sz w:val="24"/>
          <w:szCs w:val="24"/>
        </w:rPr>
        <w:t>interim</w:t>
      </w:r>
      <w:r w:rsidR="009F5FB6">
        <w:rPr>
          <w:rFonts w:cs="Times New Roman"/>
          <w:sz w:val="24"/>
          <w:szCs w:val="24"/>
        </w:rPr>
        <w:t xml:space="preserve"> and 1996 constitutions </w:t>
      </w:r>
      <w:r w:rsidR="009F5FB6">
        <w:rPr>
          <w:rFonts w:cs="Times New Roman"/>
          <w:sz w:val="24"/>
          <w:szCs w:val="24"/>
        </w:rPr>
        <w:lastRenderedPageBreak/>
        <w:t xml:space="preserve">affirm South Africa is a federal state, </w:t>
      </w:r>
      <w:r w:rsidR="00455E1E">
        <w:rPr>
          <w:rFonts w:cs="Times New Roman"/>
          <w:sz w:val="24"/>
          <w:szCs w:val="24"/>
        </w:rPr>
        <w:t xml:space="preserve">but </w:t>
      </w:r>
      <w:r w:rsidR="009F5FB6">
        <w:rPr>
          <w:rFonts w:cs="Times New Roman"/>
          <w:sz w:val="24"/>
          <w:szCs w:val="24"/>
        </w:rPr>
        <w:t>the 1996 Constitution weakened federalism and further centralized power for the ANC to the dissatisfaction of those who want greater provincial autonomy.</w:t>
      </w:r>
      <w:r w:rsidR="009F5FB6">
        <w:rPr>
          <w:rStyle w:val="FootnoteReference"/>
          <w:rFonts w:cs="Times New Roman"/>
          <w:sz w:val="24"/>
          <w:szCs w:val="24"/>
        </w:rPr>
        <w:footnoteReference w:id="302"/>
      </w:r>
      <w:r w:rsidR="009F5FB6">
        <w:rPr>
          <w:rFonts w:cs="Times New Roman"/>
          <w:sz w:val="24"/>
          <w:szCs w:val="24"/>
        </w:rPr>
        <w:t xml:space="preserve"> </w:t>
      </w:r>
      <w:r w:rsidR="00462910">
        <w:rPr>
          <w:rFonts w:cs="Times New Roman"/>
          <w:sz w:val="24"/>
          <w:szCs w:val="24"/>
        </w:rPr>
        <w:t>The 2003 amendment allowing floor-crossing also exacerbated the disparity in political power.</w:t>
      </w:r>
      <w:r w:rsidR="00462910">
        <w:rPr>
          <w:rStyle w:val="FootnoteReference"/>
          <w:rFonts w:cs="Times New Roman"/>
          <w:sz w:val="24"/>
          <w:szCs w:val="24"/>
        </w:rPr>
        <w:footnoteReference w:id="303"/>
      </w:r>
      <w:r w:rsidR="00462910" w:rsidRPr="00462910">
        <w:rPr>
          <w:rFonts w:cs="Times New Roman"/>
          <w:sz w:val="24"/>
          <w:szCs w:val="24"/>
        </w:rPr>
        <w:t xml:space="preserve"> </w:t>
      </w:r>
      <w:r w:rsidR="00462910">
        <w:rPr>
          <w:rFonts w:cs="Times New Roman"/>
          <w:sz w:val="24"/>
          <w:szCs w:val="24"/>
        </w:rPr>
        <w:t>Despite the fact that party mergers and floor-crossing were prohibited in the original constitution, the amendment – with approval from the Constitutional Court – resulted in an immediate supermajority for the ANC, allowing it to amend the constitution at will.</w:t>
      </w:r>
      <w:r w:rsidR="00462910">
        <w:rPr>
          <w:rStyle w:val="FootnoteReference"/>
          <w:rFonts w:cs="Times New Roman"/>
          <w:sz w:val="24"/>
          <w:szCs w:val="24"/>
        </w:rPr>
        <w:footnoteReference w:id="304"/>
      </w:r>
      <w:r w:rsidR="007E4A2A">
        <w:rPr>
          <w:rFonts w:cs="Times New Roman"/>
          <w:sz w:val="24"/>
          <w:szCs w:val="24"/>
        </w:rPr>
        <w:t xml:space="preserve"> T</w:t>
      </w:r>
      <w:r w:rsidR="00DC145A">
        <w:rPr>
          <w:rFonts w:cs="Times New Roman"/>
          <w:sz w:val="24"/>
          <w:szCs w:val="24"/>
        </w:rPr>
        <w:t>he floor-crossing amendment was repealed</w:t>
      </w:r>
      <w:r w:rsidR="007E4A2A">
        <w:rPr>
          <w:rFonts w:cs="Times New Roman"/>
          <w:sz w:val="24"/>
          <w:szCs w:val="24"/>
        </w:rPr>
        <w:t>, however,</w:t>
      </w:r>
      <w:r w:rsidR="00DC145A">
        <w:rPr>
          <w:rFonts w:cs="Times New Roman"/>
          <w:sz w:val="24"/>
          <w:szCs w:val="24"/>
        </w:rPr>
        <w:t xml:space="preserve"> in January 2009</w:t>
      </w:r>
      <w:r w:rsidR="00AE6ED1">
        <w:rPr>
          <w:rFonts w:cs="Times New Roman"/>
          <w:sz w:val="24"/>
          <w:szCs w:val="24"/>
        </w:rPr>
        <w:t>,</w:t>
      </w:r>
      <w:r w:rsidR="00DC145A">
        <w:rPr>
          <w:rStyle w:val="FootnoteReference"/>
          <w:rFonts w:cs="Times New Roman"/>
          <w:sz w:val="24"/>
          <w:szCs w:val="24"/>
        </w:rPr>
        <w:footnoteReference w:id="305"/>
      </w:r>
      <w:r w:rsidR="00AE6ED1">
        <w:rPr>
          <w:rFonts w:cs="Times New Roman"/>
          <w:sz w:val="24"/>
          <w:szCs w:val="24"/>
        </w:rPr>
        <w:t xml:space="preserve"> which is at least a step in the right direction.</w:t>
      </w:r>
      <w:r w:rsidR="007E4A2A">
        <w:rPr>
          <w:rFonts w:cs="Times New Roman"/>
          <w:sz w:val="24"/>
          <w:szCs w:val="24"/>
        </w:rPr>
        <w:t xml:space="preserve"> But one effect of the prohibition is that it makes members of parliament beholden to the party that put them in office by rescinding their membership if they leave their party.</w:t>
      </w:r>
      <w:r w:rsidR="007E4A2A">
        <w:rPr>
          <w:rStyle w:val="FootnoteReference"/>
          <w:rFonts w:cs="Times New Roman"/>
          <w:sz w:val="24"/>
          <w:szCs w:val="24"/>
        </w:rPr>
        <w:footnoteReference w:id="306"/>
      </w:r>
      <w:r w:rsidR="007E4A2A">
        <w:rPr>
          <w:rFonts w:cs="Times New Roman"/>
          <w:sz w:val="24"/>
          <w:szCs w:val="24"/>
        </w:rPr>
        <w:t xml:space="preserve"> </w:t>
      </w:r>
      <w:r w:rsidR="00865DA8">
        <w:rPr>
          <w:rFonts w:cs="Times New Roman"/>
          <w:sz w:val="24"/>
          <w:szCs w:val="24"/>
        </w:rPr>
        <w:t>It also has the effect of allowing a party to eject an MP from parliament by expelling them from the party – a tactic that the ANC has employed in the past.</w:t>
      </w:r>
      <w:r w:rsidR="00865DA8">
        <w:rPr>
          <w:rStyle w:val="FootnoteReference"/>
          <w:rFonts w:cs="Times New Roman"/>
          <w:sz w:val="24"/>
          <w:szCs w:val="24"/>
        </w:rPr>
        <w:footnoteReference w:id="307"/>
      </w:r>
      <w:r w:rsidR="00865DA8">
        <w:rPr>
          <w:rFonts w:cs="Times New Roman"/>
          <w:sz w:val="24"/>
          <w:szCs w:val="24"/>
        </w:rPr>
        <w:t xml:space="preserve"> </w:t>
      </w:r>
      <w:r w:rsidR="007E4A2A">
        <w:rPr>
          <w:rFonts w:cs="Times New Roman"/>
          <w:sz w:val="24"/>
          <w:szCs w:val="24"/>
        </w:rPr>
        <w:t>Considering the largely undemocratic party structures, it preserves the disconnect between voters and MPs.</w:t>
      </w:r>
      <w:r w:rsidR="007E4A2A">
        <w:rPr>
          <w:rStyle w:val="FootnoteReference"/>
          <w:rFonts w:cs="Times New Roman"/>
          <w:sz w:val="24"/>
          <w:szCs w:val="24"/>
        </w:rPr>
        <w:footnoteReference w:id="308"/>
      </w:r>
      <w:r w:rsidR="007E4A2A">
        <w:rPr>
          <w:rFonts w:cs="Times New Roman"/>
          <w:sz w:val="24"/>
          <w:szCs w:val="24"/>
        </w:rPr>
        <w:t xml:space="preserve"> Perhaps a better solution would be to</w:t>
      </w:r>
      <w:r w:rsidR="00865DA8">
        <w:rPr>
          <w:rFonts w:cs="Times New Roman"/>
          <w:sz w:val="24"/>
          <w:szCs w:val="24"/>
        </w:rPr>
        <w:t xml:space="preserve"> specifically</w:t>
      </w:r>
      <w:r w:rsidR="007E4A2A">
        <w:rPr>
          <w:rFonts w:cs="Times New Roman"/>
          <w:sz w:val="24"/>
          <w:szCs w:val="24"/>
        </w:rPr>
        <w:t xml:space="preserve"> prohibit MPs from leaving their party to join another, thus maintaining their right to resign their party to be independent</w:t>
      </w:r>
      <w:r w:rsidR="00865DA8">
        <w:rPr>
          <w:rFonts w:cs="Times New Roman"/>
          <w:sz w:val="24"/>
          <w:szCs w:val="24"/>
        </w:rPr>
        <w:t xml:space="preserve"> and shielding them from retaliatory action by their parties</w:t>
      </w:r>
      <w:r w:rsidR="007E4A2A">
        <w:rPr>
          <w:rFonts w:cs="Times New Roman"/>
          <w:sz w:val="24"/>
          <w:szCs w:val="24"/>
        </w:rPr>
        <w:t>.</w:t>
      </w:r>
    </w:p>
    <w:p w:rsidR="00D06733" w:rsidRPr="004451F9" w:rsidRDefault="007E4A2A" w:rsidP="00B35AC7">
      <w:pPr>
        <w:spacing w:after="0" w:line="480" w:lineRule="auto"/>
        <w:ind w:firstLine="720"/>
        <w:rPr>
          <w:rFonts w:cs="Times New Roman"/>
          <w:sz w:val="24"/>
          <w:szCs w:val="24"/>
        </w:rPr>
      </w:pPr>
      <w:r>
        <w:rPr>
          <w:rFonts w:cs="Times New Roman"/>
          <w:sz w:val="24"/>
          <w:szCs w:val="24"/>
        </w:rPr>
        <w:lastRenderedPageBreak/>
        <w:t xml:space="preserve">Additionally, as long as party funding remains so </w:t>
      </w:r>
      <w:r w:rsidR="00421738">
        <w:rPr>
          <w:rFonts w:cs="Times New Roman"/>
          <w:sz w:val="24"/>
          <w:szCs w:val="24"/>
        </w:rPr>
        <w:t>unequal, it is unlikely that a party will emerge to legitimately challenge the ANC. Although section 236 of the 1996 Constitution says that "[t]</w:t>
      </w:r>
      <w:r w:rsidR="00421738" w:rsidRPr="00421738">
        <w:rPr>
          <w:rFonts w:cs="Times New Roman"/>
          <w:sz w:val="24"/>
          <w:szCs w:val="24"/>
        </w:rPr>
        <w:t>o enhance multi-party democracy, national legislation must provide for the funding of political parties participating in national and provincial legislatures on an eq</w:t>
      </w:r>
      <w:r w:rsidR="00421738">
        <w:rPr>
          <w:rFonts w:cs="Times New Roman"/>
          <w:sz w:val="24"/>
          <w:szCs w:val="24"/>
        </w:rPr>
        <w:t>uitable and proportional basis,</w:t>
      </w:r>
      <w:r w:rsidR="00CF4EE0" w:rsidRPr="004451F9">
        <w:rPr>
          <w:rFonts w:cs="Times New Roman"/>
          <w:sz w:val="24"/>
          <w:szCs w:val="24"/>
        </w:rPr>
        <w:t>"</w:t>
      </w:r>
      <w:r w:rsidR="00421738">
        <w:rPr>
          <w:rStyle w:val="FootnoteReference"/>
          <w:rFonts w:cs="Times New Roman"/>
          <w:sz w:val="24"/>
          <w:szCs w:val="24"/>
        </w:rPr>
        <w:footnoteReference w:id="309"/>
      </w:r>
      <w:r w:rsidR="00421738">
        <w:rPr>
          <w:rFonts w:cs="Times New Roman"/>
          <w:sz w:val="24"/>
          <w:szCs w:val="24"/>
        </w:rPr>
        <w:t xml:space="preserve"> the government does not have enough resources to provide for some essential social and economic needs, let alone prop up political parties. And with the ANC's grip on power, it is disincentivized to do so.</w:t>
      </w:r>
      <w:r w:rsidR="00022274">
        <w:rPr>
          <w:rFonts w:cs="Times New Roman"/>
          <w:sz w:val="24"/>
          <w:szCs w:val="24"/>
        </w:rPr>
        <w:t xml:space="preserve"> </w:t>
      </w:r>
      <w:r w:rsidR="00421738">
        <w:rPr>
          <w:rFonts w:cs="Times New Roman"/>
          <w:sz w:val="24"/>
          <w:szCs w:val="24"/>
        </w:rPr>
        <w:t>Furthermore, the article applies only to political parties already represented in government</w:t>
      </w:r>
      <w:r w:rsidR="001D6351">
        <w:rPr>
          <w:rFonts w:cs="Times New Roman"/>
          <w:sz w:val="24"/>
          <w:szCs w:val="24"/>
        </w:rPr>
        <w:t>, making election to office – arguably the most expensive endeavor for political parties – a prerequisite to receiving any government funding</w:t>
      </w:r>
      <w:r w:rsidR="00421738">
        <w:rPr>
          <w:rFonts w:cs="Times New Roman"/>
          <w:sz w:val="24"/>
          <w:szCs w:val="24"/>
        </w:rPr>
        <w:t>.</w:t>
      </w:r>
      <w:r w:rsidR="00421738">
        <w:rPr>
          <w:rStyle w:val="FootnoteReference"/>
          <w:rFonts w:cs="Times New Roman"/>
          <w:sz w:val="24"/>
          <w:szCs w:val="24"/>
        </w:rPr>
        <w:footnoteReference w:id="310"/>
      </w:r>
      <w:r w:rsidR="00421738">
        <w:rPr>
          <w:rFonts w:cs="Times New Roman"/>
          <w:sz w:val="24"/>
          <w:szCs w:val="24"/>
        </w:rPr>
        <w:t xml:space="preserve"> The</w:t>
      </w:r>
      <w:r w:rsidR="001D6351">
        <w:rPr>
          <w:rFonts w:cs="Times New Roman"/>
          <w:sz w:val="24"/>
          <w:szCs w:val="24"/>
        </w:rPr>
        <w:t xml:space="preserve"> </w:t>
      </w:r>
      <w:r w:rsidR="00421738">
        <w:rPr>
          <w:rFonts w:cs="Times New Roman"/>
          <w:sz w:val="24"/>
          <w:szCs w:val="24"/>
        </w:rPr>
        <w:t>legislation</w:t>
      </w:r>
      <w:r w:rsidR="001D6351">
        <w:rPr>
          <w:rFonts w:cs="Times New Roman"/>
          <w:sz w:val="24"/>
          <w:szCs w:val="24"/>
        </w:rPr>
        <w:t xml:space="preserve"> promulgating the mandate in section 236 bears this out.</w:t>
      </w:r>
      <w:r w:rsidR="00421738">
        <w:rPr>
          <w:rFonts w:cs="Times New Roman"/>
          <w:sz w:val="24"/>
          <w:szCs w:val="24"/>
        </w:rPr>
        <w:t xml:space="preserve"> </w:t>
      </w:r>
      <w:r w:rsidR="00CF4EE0" w:rsidRPr="004451F9">
        <w:rPr>
          <w:rStyle w:val="FootnoteReference"/>
          <w:rFonts w:cs="Times New Roman"/>
          <w:sz w:val="24"/>
          <w:szCs w:val="24"/>
        </w:rPr>
        <w:footnoteReference w:id="311"/>
      </w:r>
    </w:p>
    <w:p w:rsidR="00D06733" w:rsidRPr="004451F9" w:rsidRDefault="00D06733" w:rsidP="001D6351">
      <w:pPr>
        <w:spacing w:after="0" w:line="240" w:lineRule="auto"/>
        <w:ind w:left="720" w:right="720"/>
        <w:rPr>
          <w:sz w:val="24"/>
          <w:szCs w:val="24"/>
        </w:rPr>
      </w:pPr>
      <w:r w:rsidRPr="004451F9">
        <w:rPr>
          <w:sz w:val="24"/>
          <w:szCs w:val="24"/>
        </w:rPr>
        <w:t xml:space="preserve">5. </w:t>
      </w:r>
      <w:r w:rsidR="001D6351">
        <w:rPr>
          <w:sz w:val="24"/>
          <w:szCs w:val="24"/>
        </w:rPr>
        <w:t>( 1 ) (a) Every political party</w:t>
      </w:r>
      <w:r w:rsidRPr="004451F9">
        <w:rPr>
          <w:sz w:val="24"/>
          <w:szCs w:val="24"/>
        </w:rPr>
        <w:t xml:space="preserve"> is entitled to be allocated moneys from the Fund for any financial year that it is represented-</w:t>
      </w:r>
    </w:p>
    <w:p w:rsidR="00D06733" w:rsidRPr="004451F9" w:rsidRDefault="00D06733" w:rsidP="001D6351">
      <w:pPr>
        <w:spacing w:after="0" w:line="240" w:lineRule="auto"/>
        <w:ind w:left="720" w:right="720"/>
        <w:rPr>
          <w:sz w:val="24"/>
          <w:szCs w:val="24"/>
        </w:rPr>
      </w:pPr>
      <w:r w:rsidRPr="004451F9">
        <w:rPr>
          <w:sz w:val="24"/>
          <w:szCs w:val="24"/>
        </w:rPr>
        <w:t>(i) in the National Assembly; or</w:t>
      </w:r>
    </w:p>
    <w:p w:rsidR="00D06733" w:rsidRPr="004451F9" w:rsidRDefault="00D06733" w:rsidP="001D6351">
      <w:pPr>
        <w:spacing w:after="0" w:line="240" w:lineRule="auto"/>
        <w:ind w:left="720" w:right="720"/>
        <w:rPr>
          <w:sz w:val="24"/>
          <w:szCs w:val="24"/>
        </w:rPr>
      </w:pPr>
      <w:r w:rsidRPr="004451F9">
        <w:rPr>
          <w:sz w:val="24"/>
          <w:szCs w:val="24"/>
        </w:rPr>
        <w:t>(ii ) in any provincial legislature; or</w:t>
      </w:r>
    </w:p>
    <w:p w:rsidR="00D06733" w:rsidRPr="004451F9" w:rsidRDefault="00D06733" w:rsidP="001D6351">
      <w:pPr>
        <w:spacing w:after="0" w:line="240" w:lineRule="auto"/>
        <w:ind w:left="720" w:right="720"/>
        <w:rPr>
          <w:sz w:val="24"/>
          <w:szCs w:val="24"/>
        </w:rPr>
      </w:pPr>
      <w:r w:rsidRPr="004451F9">
        <w:rPr>
          <w:sz w:val="24"/>
          <w:szCs w:val="24"/>
        </w:rPr>
        <w:t>(iii) both in the National Assembly and any provincial legislature.</w:t>
      </w:r>
    </w:p>
    <w:p w:rsidR="00D06733" w:rsidRPr="004451F9" w:rsidRDefault="00D06733" w:rsidP="001D6351">
      <w:pPr>
        <w:spacing w:after="0" w:line="240" w:lineRule="auto"/>
        <w:ind w:left="720" w:right="720"/>
        <w:rPr>
          <w:sz w:val="24"/>
          <w:szCs w:val="24"/>
        </w:rPr>
      </w:pPr>
      <w:r w:rsidRPr="004451F9">
        <w:rPr>
          <w:sz w:val="24"/>
          <w:szCs w:val="24"/>
        </w:rPr>
        <w:t>(1) (b) Subject to subsection (3). the moneys so allocated to a political party may be used for any purposes compatible with its functioning as a political party in a modern democracy. These purposes include, amongst others-</w:t>
      </w:r>
    </w:p>
    <w:p w:rsidR="00D06733" w:rsidRPr="004451F9" w:rsidRDefault="00D06733" w:rsidP="001D6351">
      <w:pPr>
        <w:spacing w:after="0" w:line="240" w:lineRule="auto"/>
        <w:ind w:left="720" w:right="720"/>
        <w:rPr>
          <w:sz w:val="24"/>
          <w:szCs w:val="24"/>
        </w:rPr>
      </w:pPr>
      <w:r w:rsidRPr="004451F9">
        <w:rPr>
          <w:sz w:val="24"/>
          <w:szCs w:val="24"/>
        </w:rPr>
        <w:t>(i) the development of the political will of people:</w:t>
      </w:r>
    </w:p>
    <w:p w:rsidR="00D06733" w:rsidRPr="004451F9" w:rsidRDefault="00D06733" w:rsidP="001D6351">
      <w:pPr>
        <w:spacing w:after="0" w:line="240" w:lineRule="auto"/>
        <w:ind w:left="720" w:right="720"/>
        <w:rPr>
          <w:sz w:val="24"/>
          <w:szCs w:val="24"/>
        </w:rPr>
      </w:pPr>
      <w:r w:rsidRPr="004451F9">
        <w:rPr>
          <w:sz w:val="24"/>
          <w:szCs w:val="24"/>
        </w:rPr>
        <w:t>(ii ) bringing the political party's influence to bear on the shaping of public opinion:</w:t>
      </w:r>
    </w:p>
    <w:p w:rsidR="00D06733" w:rsidRPr="004451F9" w:rsidRDefault="00D06733" w:rsidP="001D6351">
      <w:pPr>
        <w:spacing w:after="0" w:line="240" w:lineRule="auto"/>
        <w:ind w:left="720" w:right="720"/>
        <w:rPr>
          <w:sz w:val="24"/>
          <w:szCs w:val="24"/>
        </w:rPr>
      </w:pPr>
      <w:r w:rsidRPr="004451F9">
        <w:rPr>
          <w:sz w:val="24"/>
          <w:szCs w:val="24"/>
        </w:rPr>
        <w:t>(iii ) inspiring and furthering political education;</w:t>
      </w:r>
    </w:p>
    <w:p w:rsidR="00D06733" w:rsidRPr="004451F9" w:rsidRDefault="00D06733" w:rsidP="001D6351">
      <w:pPr>
        <w:spacing w:after="0" w:line="240" w:lineRule="auto"/>
        <w:ind w:left="720" w:right="720"/>
        <w:rPr>
          <w:sz w:val="24"/>
          <w:szCs w:val="24"/>
        </w:rPr>
      </w:pPr>
      <w:r w:rsidRPr="004451F9">
        <w:rPr>
          <w:sz w:val="24"/>
          <w:szCs w:val="24"/>
        </w:rPr>
        <w:t>(iv) promoting active participation by individual citizens in political life:</w:t>
      </w:r>
    </w:p>
    <w:p w:rsidR="00D06733" w:rsidRPr="004451F9" w:rsidRDefault="00D06733" w:rsidP="001D6351">
      <w:pPr>
        <w:spacing w:after="0" w:line="240" w:lineRule="auto"/>
        <w:ind w:left="720" w:right="720"/>
        <w:rPr>
          <w:sz w:val="24"/>
          <w:szCs w:val="24"/>
        </w:rPr>
      </w:pPr>
      <w:r w:rsidRPr="004451F9">
        <w:rPr>
          <w:sz w:val="24"/>
          <w:szCs w:val="24"/>
        </w:rPr>
        <w:t>(v) exercising an influence on political trends; and</w:t>
      </w:r>
    </w:p>
    <w:p w:rsidR="00D06733" w:rsidRDefault="00D06733" w:rsidP="001D6351">
      <w:pPr>
        <w:spacing w:after="0" w:line="240" w:lineRule="auto"/>
        <w:ind w:left="720" w:right="720"/>
        <w:rPr>
          <w:sz w:val="24"/>
          <w:szCs w:val="24"/>
        </w:rPr>
      </w:pPr>
      <w:r w:rsidRPr="004451F9">
        <w:rPr>
          <w:sz w:val="24"/>
          <w:szCs w:val="24"/>
        </w:rPr>
        <w:t>(vi ) ensuring continuous, vital links between the people and organs of state.</w:t>
      </w:r>
      <w:r w:rsidRPr="004451F9">
        <w:rPr>
          <w:rStyle w:val="FootnoteReference"/>
          <w:sz w:val="24"/>
          <w:szCs w:val="24"/>
        </w:rPr>
        <w:footnoteReference w:id="312"/>
      </w:r>
    </w:p>
    <w:p w:rsidR="001D6351" w:rsidRPr="004451F9" w:rsidRDefault="001D6351" w:rsidP="001D6351">
      <w:pPr>
        <w:spacing w:after="0" w:line="240" w:lineRule="auto"/>
        <w:ind w:left="720" w:right="720"/>
        <w:rPr>
          <w:sz w:val="24"/>
          <w:szCs w:val="24"/>
        </w:rPr>
      </w:pPr>
    </w:p>
    <w:p w:rsidR="001D6351" w:rsidRPr="001D6351" w:rsidRDefault="001D6351" w:rsidP="00B35AC7">
      <w:pPr>
        <w:spacing w:after="0" w:line="480" w:lineRule="auto"/>
        <w:rPr>
          <w:rFonts w:cs="Times New Roman"/>
          <w:sz w:val="24"/>
          <w:szCs w:val="24"/>
        </w:rPr>
      </w:pPr>
      <w:r>
        <w:rPr>
          <w:rFonts w:cs="Times New Roman"/>
          <w:sz w:val="24"/>
          <w:szCs w:val="24"/>
        </w:rPr>
        <w:lastRenderedPageBreak/>
        <w:t xml:space="preserve">The bigger issue that needs regulation, as discussed earlier, is </w:t>
      </w:r>
      <w:r>
        <w:rPr>
          <w:rFonts w:cs="Times New Roman"/>
          <w:i/>
          <w:sz w:val="24"/>
          <w:szCs w:val="24"/>
        </w:rPr>
        <w:t>non</w:t>
      </w:r>
      <w:r>
        <w:rPr>
          <w:rFonts w:cs="Times New Roman"/>
          <w:sz w:val="24"/>
          <w:szCs w:val="24"/>
        </w:rPr>
        <w:t>-governmental sources of income for political parties.</w:t>
      </w:r>
      <w:r>
        <w:rPr>
          <w:rStyle w:val="FootnoteReference"/>
          <w:rFonts w:cs="Times New Roman"/>
          <w:sz w:val="24"/>
          <w:szCs w:val="24"/>
        </w:rPr>
        <w:footnoteReference w:id="313"/>
      </w:r>
      <w:r w:rsidR="00865DA8">
        <w:rPr>
          <w:rFonts w:cs="Times New Roman"/>
          <w:sz w:val="24"/>
          <w:szCs w:val="24"/>
        </w:rPr>
        <w:t xml:space="preserve"> As long as the ANC remains in power, </w:t>
      </w:r>
      <w:r w:rsidR="000F7670">
        <w:rPr>
          <w:rFonts w:cs="Times New Roman"/>
          <w:sz w:val="24"/>
          <w:szCs w:val="24"/>
        </w:rPr>
        <w:t>it is likely to continue steering profitable economic opportunities to its own party, which raises deep moral questions. Furthermore, the ANC will continue to profit from foreign investors by characterizing itself as the liberation movement of South Africa. The DA, as essentially the party that succeeded the apartheid era National Party, is unlikely to be able to compete with the ANC for foreign investment dollars. It is not even clear that such foreign investment in political parties is wise at any level, in light of the bribery, arms, and oil-for-food scandals that have plagued the ANC.</w:t>
      </w:r>
    </w:p>
    <w:p w:rsidR="00EC3134" w:rsidRPr="004451F9" w:rsidRDefault="00D06733" w:rsidP="00B35AC7">
      <w:pPr>
        <w:spacing w:after="0" w:line="480" w:lineRule="auto"/>
        <w:rPr>
          <w:rFonts w:cs="Times New Roman"/>
          <w:i/>
          <w:sz w:val="24"/>
          <w:szCs w:val="24"/>
        </w:rPr>
      </w:pPr>
      <w:r w:rsidRPr="004451F9">
        <w:rPr>
          <w:rFonts w:cs="Times New Roman"/>
          <w:sz w:val="24"/>
          <w:szCs w:val="24"/>
        </w:rPr>
        <w:t xml:space="preserve">C. </w:t>
      </w:r>
      <w:r w:rsidRPr="004451F9">
        <w:rPr>
          <w:rFonts w:cs="Times New Roman"/>
          <w:i/>
          <w:sz w:val="24"/>
          <w:szCs w:val="24"/>
        </w:rPr>
        <w:t>South Africa: A Way Forward?</w:t>
      </w:r>
    </w:p>
    <w:p w:rsidR="00023394" w:rsidRDefault="000F7670" w:rsidP="00B35AC7">
      <w:pPr>
        <w:spacing w:after="0" w:line="480" w:lineRule="auto"/>
        <w:ind w:firstLine="720"/>
        <w:rPr>
          <w:sz w:val="24"/>
          <w:szCs w:val="24"/>
        </w:rPr>
      </w:pPr>
      <w:r>
        <w:rPr>
          <w:sz w:val="24"/>
          <w:szCs w:val="24"/>
        </w:rPr>
        <w:t>Although a one-party system may have provided stability to South Africa during its transition to democracy, it is now on the verge of oppressing its people. It is truly ironic that out of a system intended to give a voice to those silenced for so many years has evolved an entrenched, highly centralized, and unaccountable government. South Africa's constitution is in dire need of amendments that either 1) provide for direct election of national political representatives or 2) p</w:t>
      </w:r>
      <w:r w:rsidR="00023394">
        <w:rPr>
          <w:sz w:val="24"/>
          <w:szCs w:val="24"/>
        </w:rPr>
        <w:t>rovide greater oversight of political party structures. Either way, reform of political party funding is desperately needed to stave corruption and enable the seedlings of a competitive party system to be planted. The ANC has become too comfortable in its position of power and has been unable to effectively spur economic growth and provide for the social welfare. And if political power continues to be concentrated in the hands of a few powerful party leaders through authoritarian party structures and traditions, then the people should gain the right to elect leaders directly.</w:t>
      </w:r>
    </w:p>
    <w:p w:rsidR="00EC3134" w:rsidRPr="004451F9" w:rsidRDefault="00B35AC7" w:rsidP="00B35AC7">
      <w:pPr>
        <w:spacing w:after="0" w:line="480" w:lineRule="auto"/>
        <w:jc w:val="center"/>
        <w:rPr>
          <w:rFonts w:cs="Times New Roman"/>
          <w:smallCaps/>
          <w:sz w:val="24"/>
          <w:szCs w:val="24"/>
        </w:rPr>
      </w:pPr>
      <w:r w:rsidRPr="004451F9">
        <w:rPr>
          <w:smallCaps/>
          <w:sz w:val="24"/>
          <w:szCs w:val="24"/>
        </w:rPr>
        <w:t xml:space="preserve">III. </w:t>
      </w:r>
      <w:r w:rsidR="00EC3134" w:rsidRPr="004451F9">
        <w:rPr>
          <w:smallCaps/>
          <w:sz w:val="24"/>
          <w:szCs w:val="24"/>
        </w:rPr>
        <w:t>Comparisons and Conclusions</w:t>
      </w:r>
    </w:p>
    <w:p w:rsidR="002A3D87" w:rsidRPr="00D10EAB" w:rsidRDefault="00BB151F" w:rsidP="00B35AC7">
      <w:pPr>
        <w:spacing w:after="0" w:line="480" w:lineRule="auto"/>
        <w:ind w:firstLine="720"/>
        <w:rPr>
          <w:sz w:val="24"/>
          <w:szCs w:val="24"/>
        </w:rPr>
      </w:pPr>
      <w:r>
        <w:rPr>
          <w:sz w:val="24"/>
          <w:szCs w:val="24"/>
        </w:rPr>
        <w:lastRenderedPageBreak/>
        <w:t>Although perhaps Turkey's commitment to secularism initially enabled it to create a "more democratic" governance system than the theocracies of some of its majority-Muslim peer states, its devotion to secularism has become extreme and evolved into</w:t>
      </w:r>
      <w:r w:rsidR="00EC3134" w:rsidRPr="004451F9">
        <w:rPr>
          <w:sz w:val="24"/>
          <w:szCs w:val="24"/>
        </w:rPr>
        <w:t xml:space="preserve"> "laicism," </w:t>
      </w:r>
      <w:r>
        <w:rPr>
          <w:sz w:val="24"/>
          <w:szCs w:val="24"/>
        </w:rPr>
        <w:t>which buttresses separation of church and state at the expense of individual and even group freedoms – freedom of religion, freedom of association.</w:t>
      </w:r>
      <w:r w:rsidR="00EC3134" w:rsidRPr="004451F9">
        <w:rPr>
          <w:sz w:val="24"/>
          <w:szCs w:val="24"/>
        </w:rPr>
        <w:t xml:space="preserve"> They've struggled with this issue and religiously-affiliated parties have existed since the pre-Republic days. The attempt to stamp out religion from the public and political sphere has not worked – parties continue to be founded, but perhaps more importantly the desire for political-religious expression remains. Some </w:t>
      </w:r>
      <w:r>
        <w:rPr>
          <w:sz w:val="24"/>
          <w:szCs w:val="24"/>
        </w:rPr>
        <w:t xml:space="preserve">such </w:t>
      </w:r>
      <w:r w:rsidR="00EC3134" w:rsidRPr="004451F9">
        <w:rPr>
          <w:sz w:val="24"/>
          <w:szCs w:val="24"/>
        </w:rPr>
        <w:t>parties</w:t>
      </w:r>
      <w:r>
        <w:rPr>
          <w:sz w:val="24"/>
          <w:szCs w:val="24"/>
        </w:rPr>
        <w:t>, like the JDP/AK Parti,</w:t>
      </w:r>
      <w:r w:rsidR="00EC3134" w:rsidRPr="004451F9">
        <w:rPr>
          <w:sz w:val="24"/>
          <w:szCs w:val="24"/>
        </w:rPr>
        <w:t xml:space="preserve"> have moderated their religious aspects and found great success</w:t>
      </w:r>
      <w:r>
        <w:rPr>
          <w:sz w:val="24"/>
          <w:szCs w:val="24"/>
        </w:rPr>
        <w:t>, setting</w:t>
      </w:r>
      <w:r w:rsidR="00EC3134" w:rsidRPr="004451F9">
        <w:rPr>
          <w:sz w:val="24"/>
          <w:szCs w:val="24"/>
        </w:rPr>
        <w:t xml:space="preserve"> Turkey apart from other Middle Eastern countries</w:t>
      </w:r>
      <w:r>
        <w:rPr>
          <w:sz w:val="24"/>
          <w:szCs w:val="24"/>
        </w:rPr>
        <w:t>.</w:t>
      </w:r>
      <w:r w:rsidR="00EC3134" w:rsidRPr="004451F9">
        <w:rPr>
          <w:sz w:val="24"/>
          <w:szCs w:val="24"/>
        </w:rPr>
        <w:t xml:space="preserve"> </w:t>
      </w:r>
      <w:r>
        <w:rPr>
          <w:sz w:val="24"/>
          <w:szCs w:val="24"/>
        </w:rPr>
        <w:t xml:space="preserve">But the threat and intense fear of </w:t>
      </w:r>
      <w:r w:rsidR="00EC3134" w:rsidRPr="004451F9">
        <w:rPr>
          <w:sz w:val="24"/>
          <w:szCs w:val="24"/>
        </w:rPr>
        <w:t>Islamic fundamentalism</w:t>
      </w:r>
      <w:r>
        <w:rPr>
          <w:sz w:val="24"/>
          <w:szCs w:val="24"/>
        </w:rPr>
        <w:t xml:space="preserve"> are not gone from Turkey</w:t>
      </w:r>
      <w:r w:rsidR="002A3D87">
        <w:rPr>
          <w:sz w:val="24"/>
          <w:szCs w:val="24"/>
        </w:rPr>
        <w:t>, as borne out of the case involving the JDP's attempt to give female university students the right to wear the Islamic headscarf</w:t>
      </w:r>
      <w:r>
        <w:rPr>
          <w:sz w:val="24"/>
          <w:szCs w:val="24"/>
        </w:rPr>
        <w:t>.</w:t>
      </w:r>
      <w:r w:rsidR="002A3D87">
        <w:rPr>
          <w:sz w:val="24"/>
          <w:szCs w:val="24"/>
        </w:rPr>
        <w:t xml:space="preserve"> A crucial distinction that Turkey seems to miss here is that giving people the right to do something is not the same thing as mandating that they do it.</w:t>
      </w:r>
      <w:r w:rsidR="00D10EAB">
        <w:rPr>
          <w:sz w:val="24"/>
          <w:szCs w:val="24"/>
        </w:rPr>
        <w:t xml:space="preserve"> Furthermore, the will of the people of Turkey, in making the Islamist JDP the ruling dominant party for the better part of a decade, suggests that Turkey is ready to become </w:t>
      </w:r>
      <w:r w:rsidR="00D10EAB">
        <w:rPr>
          <w:i/>
          <w:sz w:val="24"/>
          <w:szCs w:val="24"/>
        </w:rPr>
        <w:t xml:space="preserve">more </w:t>
      </w:r>
      <w:r w:rsidR="00D10EAB">
        <w:rPr>
          <w:sz w:val="24"/>
          <w:szCs w:val="24"/>
        </w:rPr>
        <w:t>democratic.</w:t>
      </w:r>
    </w:p>
    <w:p w:rsidR="002A3D87" w:rsidRPr="00D10EAB" w:rsidRDefault="00EC3134" w:rsidP="00B35AC7">
      <w:pPr>
        <w:spacing w:after="0" w:line="480" w:lineRule="auto"/>
        <w:ind w:firstLine="720"/>
        <w:rPr>
          <w:sz w:val="24"/>
          <w:szCs w:val="24"/>
        </w:rPr>
      </w:pPr>
      <w:r w:rsidRPr="004451F9">
        <w:rPr>
          <w:sz w:val="24"/>
          <w:szCs w:val="24"/>
        </w:rPr>
        <w:t xml:space="preserve">Turkey's other </w:t>
      </w:r>
      <w:r w:rsidR="00BB151F">
        <w:rPr>
          <w:sz w:val="24"/>
          <w:szCs w:val="24"/>
        </w:rPr>
        <w:t xml:space="preserve">primary </w:t>
      </w:r>
      <w:r w:rsidRPr="004451F9">
        <w:rPr>
          <w:sz w:val="24"/>
          <w:szCs w:val="24"/>
        </w:rPr>
        <w:t xml:space="preserve">issue is with ethnic minority groups – the Kurds. More Kurdish-sympathetic political parties have been disbanded than </w:t>
      </w:r>
      <w:r w:rsidR="00FD2178" w:rsidRPr="004451F9">
        <w:rPr>
          <w:sz w:val="24"/>
          <w:szCs w:val="24"/>
        </w:rPr>
        <w:t xml:space="preserve">Islamic parties. </w:t>
      </w:r>
      <w:r w:rsidR="00BB151F">
        <w:rPr>
          <w:sz w:val="24"/>
          <w:szCs w:val="24"/>
        </w:rPr>
        <w:t>And like its intense secularism, Turkey's fierce nationalism and</w:t>
      </w:r>
      <w:r w:rsidR="00FD2178" w:rsidRPr="004451F9">
        <w:rPr>
          <w:sz w:val="24"/>
          <w:szCs w:val="24"/>
        </w:rPr>
        <w:t xml:space="preserve"> attempt to </w:t>
      </w:r>
      <w:r w:rsidR="00BB151F">
        <w:rPr>
          <w:sz w:val="24"/>
          <w:szCs w:val="24"/>
        </w:rPr>
        <w:t>preserve the integrity of the state at all costs was born at the same time the Republic was, hewn from</w:t>
      </w:r>
      <w:r w:rsidR="00FD2178" w:rsidRPr="004451F9">
        <w:rPr>
          <w:sz w:val="24"/>
          <w:szCs w:val="24"/>
        </w:rPr>
        <w:t xml:space="preserve"> a series of rebellions that chipped away at </w:t>
      </w:r>
      <w:r w:rsidR="002A3D87">
        <w:rPr>
          <w:sz w:val="24"/>
          <w:szCs w:val="24"/>
        </w:rPr>
        <w:t>the edges of the Ottoman Empire.</w:t>
      </w:r>
      <w:r w:rsidR="00FD2178" w:rsidRPr="004451F9">
        <w:rPr>
          <w:sz w:val="24"/>
          <w:szCs w:val="24"/>
        </w:rPr>
        <w:t xml:space="preserve"> Turkey</w:t>
      </w:r>
      <w:r w:rsidR="002A3D87">
        <w:rPr>
          <w:sz w:val="24"/>
          <w:szCs w:val="24"/>
        </w:rPr>
        <w:t>, fervently sticking to a definition crafted at the same time as the ideals of secularism and nationalism were,</w:t>
      </w:r>
      <w:r w:rsidR="00FD2178" w:rsidRPr="004451F9">
        <w:rPr>
          <w:sz w:val="24"/>
          <w:szCs w:val="24"/>
        </w:rPr>
        <w:t xml:space="preserve"> refuses to recognize Kurds as "minorities" because they are Muslims. But decades of oppressive policies toward these ethnic </w:t>
      </w:r>
      <w:r w:rsidR="00FD2178" w:rsidRPr="004451F9">
        <w:rPr>
          <w:sz w:val="24"/>
          <w:szCs w:val="24"/>
        </w:rPr>
        <w:lastRenderedPageBreak/>
        <w:t>minorities and religious groups have not squelched their determination – and perhaps have even fueled violent backlash in</w:t>
      </w:r>
      <w:r w:rsidR="002A3D87">
        <w:rPr>
          <w:sz w:val="24"/>
          <w:szCs w:val="24"/>
        </w:rPr>
        <w:t xml:space="preserve"> the form of domestic terrorism.</w:t>
      </w:r>
      <w:r w:rsidR="00FD2178" w:rsidRPr="004451F9">
        <w:rPr>
          <w:sz w:val="24"/>
          <w:szCs w:val="24"/>
        </w:rPr>
        <w:t xml:space="preserve"> </w:t>
      </w:r>
      <w:r w:rsidR="002A3D87">
        <w:rPr>
          <w:sz w:val="24"/>
          <w:szCs w:val="24"/>
        </w:rPr>
        <w:t xml:space="preserve">Turkey's construction of competing rights has politically marginalized these groups. </w:t>
      </w:r>
      <w:r w:rsidR="002A3D87" w:rsidRPr="004451F9">
        <w:rPr>
          <w:sz w:val="24"/>
          <w:szCs w:val="24"/>
        </w:rPr>
        <w:t xml:space="preserve">If you don't allow a group a political voice, what choice do you give them? Are they to expect that their needs will be looked out for by the majority? Reality shows otherwise – like the situation with the Kurds. </w:t>
      </w:r>
      <w:r w:rsidR="002A3D87">
        <w:rPr>
          <w:sz w:val="24"/>
          <w:szCs w:val="24"/>
        </w:rPr>
        <w:t xml:space="preserve">Turkey's refusal to deviate even a small amount from the national identity Mustafa Kemal crafted for it more than half a century ago is inhibiting its democratic evolution. It is only in the face of pressure from the European Court of Human Rights and the European Union after Turkey's application for admission into the EU that Turkey has curbed some of its </w:t>
      </w:r>
      <w:r w:rsidR="00D10EAB">
        <w:rPr>
          <w:sz w:val="24"/>
          <w:szCs w:val="24"/>
        </w:rPr>
        <w:t xml:space="preserve">oppression of religious and minority groups. The primary issue with regard to secularism and nationalism in Turkey is that they are so entrenched in the history of the country and its political culture. Furthermore, procedurally speaking, secularism and nationalism are among Mustafa Kemal's principles enshrined in the constitution in </w:t>
      </w:r>
      <w:r w:rsidR="00D10EAB">
        <w:rPr>
          <w:i/>
          <w:sz w:val="24"/>
          <w:szCs w:val="24"/>
        </w:rPr>
        <w:t xml:space="preserve">unamendable </w:t>
      </w:r>
      <w:r w:rsidR="00D10EAB">
        <w:rPr>
          <w:sz w:val="24"/>
          <w:szCs w:val="24"/>
        </w:rPr>
        <w:t>articles.</w:t>
      </w:r>
      <w:r w:rsidR="00D10EAB">
        <w:rPr>
          <w:rStyle w:val="FootnoteReference"/>
          <w:sz w:val="24"/>
          <w:szCs w:val="24"/>
        </w:rPr>
        <w:footnoteReference w:id="314"/>
      </w:r>
      <w:r w:rsidR="007B1AC2">
        <w:rPr>
          <w:sz w:val="24"/>
          <w:szCs w:val="24"/>
        </w:rPr>
        <w:t xml:space="preserve"> Thus, the Constitutional Court is bound to apply them unless a new constitution is enacted, and even then it is not clear that the unamendable articles from the current constitution would escape inclusion in a new one, nor that Turkish citizens would even desire that. The biggest lesson in that is to be careful what you enshrine in a constitution – particularly things that cannot be amended – lest you get what you seek.</w:t>
      </w:r>
    </w:p>
    <w:p w:rsidR="00481742" w:rsidRPr="004451F9" w:rsidRDefault="00FD2178" w:rsidP="00B35AC7">
      <w:pPr>
        <w:spacing w:after="0" w:line="480" w:lineRule="auto"/>
        <w:ind w:firstLine="720"/>
        <w:rPr>
          <w:sz w:val="24"/>
          <w:szCs w:val="24"/>
        </w:rPr>
      </w:pPr>
      <w:r w:rsidRPr="004451F9">
        <w:rPr>
          <w:sz w:val="24"/>
          <w:szCs w:val="24"/>
        </w:rPr>
        <w:t>The end of apartheid in South Africa was an historical moment. But the years after have seen them switch from one authoritative regime – albeit not repressive in the sense that apartheid is – to another.</w:t>
      </w:r>
      <w:r w:rsidR="007B1AC2">
        <w:rPr>
          <w:sz w:val="24"/>
          <w:szCs w:val="24"/>
        </w:rPr>
        <w:t xml:space="preserve"> The country has</w:t>
      </w:r>
      <w:r w:rsidR="00481742" w:rsidRPr="004451F9">
        <w:rPr>
          <w:sz w:val="24"/>
          <w:szCs w:val="24"/>
        </w:rPr>
        <w:t xml:space="preserve"> made steps toward democratization</w:t>
      </w:r>
      <w:r w:rsidR="007B1AC2">
        <w:rPr>
          <w:sz w:val="24"/>
          <w:szCs w:val="24"/>
        </w:rPr>
        <w:t>, but its</w:t>
      </w:r>
      <w:r w:rsidR="00481742" w:rsidRPr="004451F9">
        <w:rPr>
          <w:sz w:val="24"/>
          <w:szCs w:val="24"/>
        </w:rPr>
        <w:t xml:space="preserve"> democratization is not really em</w:t>
      </w:r>
      <w:r w:rsidR="007B1AC2">
        <w:rPr>
          <w:sz w:val="24"/>
          <w:szCs w:val="24"/>
        </w:rPr>
        <w:t>powering its c</w:t>
      </w:r>
      <w:r w:rsidR="00481742" w:rsidRPr="004451F9">
        <w:rPr>
          <w:sz w:val="24"/>
          <w:szCs w:val="24"/>
        </w:rPr>
        <w:t xml:space="preserve">itizens at this point. The funding of their political parties raises serious issues – although they have a law mandating state support, it is the private funding </w:t>
      </w:r>
      <w:r w:rsidR="00481742" w:rsidRPr="004451F9">
        <w:rPr>
          <w:sz w:val="24"/>
          <w:szCs w:val="24"/>
        </w:rPr>
        <w:lastRenderedPageBreak/>
        <w:t>structures that cause alarm. Should a political party be allowed to create its own commercial structures to fund its activities? Particularly if it is the dominant party in power? There is inherent risk that the party in power will usurp national opportunities to enrich itself in these scenarios.</w:t>
      </w:r>
      <w:r w:rsidR="007B1AC2">
        <w:rPr>
          <w:sz w:val="24"/>
          <w:szCs w:val="24"/>
        </w:rPr>
        <w:t xml:space="preserve"> Furthermore, the failure of the system to create an accountable government, either through direct election or internal political party structure, creates perverse incentives that bind the real political power to a few hands.</w:t>
      </w:r>
    </w:p>
    <w:p w:rsidR="00B35AC7" w:rsidRPr="004451F9" w:rsidRDefault="00481742" w:rsidP="00B35AC7">
      <w:pPr>
        <w:spacing w:after="0" w:line="480" w:lineRule="auto"/>
        <w:ind w:firstLine="720"/>
        <w:rPr>
          <w:sz w:val="24"/>
          <w:szCs w:val="24"/>
        </w:rPr>
      </w:pPr>
      <w:r w:rsidRPr="004451F9">
        <w:rPr>
          <w:sz w:val="24"/>
          <w:szCs w:val="24"/>
        </w:rPr>
        <w:t>Bot</w:t>
      </w:r>
      <w:r w:rsidR="007B1AC2">
        <w:rPr>
          <w:sz w:val="24"/>
          <w:szCs w:val="24"/>
        </w:rPr>
        <w:t>h countries have a main split along the</w:t>
      </w:r>
      <w:r w:rsidRPr="004451F9">
        <w:rPr>
          <w:sz w:val="24"/>
          <w:szCs w:val="24"/>
        </w:rPr>
        <w:t xml:space="preserve"> tradit</w:t>
      </w:r>
      <w:r w:rsidR="007B1AC2">
        <w:rPr>
          <w:sz w:val="24"/>
          <w:szCs w:val="24"/>
        </w:rPr>
        <w:t>ional conservative/liberal divide regarding</w:t>
      </w:r>
      <w:r w:rsidRPr="004451F9">
        <w:rPr>
          <w:sz w:val="24"/>
          <w:szCs w:val="24"/>
        </w:rPr>
        <w:t xml:space="preserve"> economic policies, </w:t>
      </w:r>
      <w:r w:rsidR="007B1AC2">
        <w:rPr>
          <w:sz w:val="24"/>
          <w:szCs w:val="24"/>
        </w:rPr>
        <w:t xml:space="preserve">the </w:t>
      </w:r>
      <w:r w:rsidRPr="004451F9">
        <w:rPr>
          <w:sz w:val="24"/>
          <w:szCs w:val="24"/>
        </w:rPr>
        <w:t xml:space="preserve">scope of government, </w:t>
      </w:r>
      <w:r w:rsidR="007B1AC2">
        <w:rPr>
          <w:sz w:val="24"/>
          <w:szCs w:val="24"/>
        </w:rPr>
        <w:t>the extent of social programs, and so forth</w:t>
      </w:r>
      <w:r w:rsidRPr="004451F9">
        <w:rPr>
          <w:sz w:val="24"/>
          <w:szCs w:val="24"/>
        </w:rPr>
        <w:t>. Both have dominant-party regimes – although Turkey has seen more shifting of the domina</w:t>
      </w:r>
      <w:r w:rsidR="007B1AC2">
        <w:rPr>
          <w:sz w:val="24"/>
          <w:szCs w:val="24"/>
        </w:rPr>
        <w:t>nt party throughout its admittedly much longer history and</w:t>
      </w:r>
      <w:r w:rsidRPr="004451F9">
        <w:rPr>
          <w:sz w:val="24"/>
          <w:szCs w:val="24"/>
        </w:rPr>
        <w:t xml:space="preserve"> more advance toward party parity. Getting over </w:t>
      </w:r>
      <w:r w:rsidR="007B1AC2">
        <w:rPr>
          <w:sz w:val="24"/>
          <w:szCs w:val="24"/>
        </w:rPr>
        <w:t xml:space="preserve">a </w:t>
      </w:r>
      <w:r w:rsidRPr="004451F9">
        <w:rPr>
          <w:sz w:val="24"/>
          <w:szCs w:val="24"/>
        </w:rPr>
        <w:t>domi</w:t>
      </w:r>
      <w:r w:rsidR="007B1AC2">
        <w:rPr>
          <w:sz w:val="24"/>
          <w:szCs w:val="24"/>
        </w:rPr>
        <w:t>nant party regime depends on ensuring</w:t>
      </w:r>
      <w:r w:rsidRPr="004451F9">
        <w:rPr>
          <w:sz w:val="24"/>
          <w:szCs w:val="24"/>
        </w:rPr>
        <w:t xml:space="preserve"> party parity </w:t>
      </w:r>
      <w:r w:rsidR="007B1AC2">
        <w:rPr>
          <w:sz w:val="24"/>
          <w:szCs w:val="24"/>
        </w:rPr>
        <w:t xml:space="preserve">through resources and ability to mobilize. </w:t>
      </w:r>
      <w:r w:rsidR="00931CB5">
        <w:rPr>
          <w:sz w:val="24"/>
          <w:szCs w:val="24"/>
        </w:rPr>
        <w:t>Both countries have oppressed opposition parties in unique ways. In Turkey's case, it or the military simply disbanded parties determined to be out of line with national ideals. In South Africa's case, the dominant party has found ways – both illegally and within its constitutional framework – to reward itself with resources and further centralize its power. Both scenarios produce the same result: marginalization, disenfranchisement, and disaffection of political constituencies. If the relatively young democracy of South Africa can learn anything from the relatively wizened democracy of Turkey, or even from its own apartheid past, it is that oppression of political groups will not succeed. It may beg</w:t>
      </w:r>
      <w:r w:rsidR="00CA07C5">
        <w:rPr>
          <w:sz w:val="24"/>
          <w:szCs w:val="24"/>
        </w:rPr>
        <w:t>e</w:t>
      </w:r>
      <w:r w:rsidR="00931CB5">
        <w:rPr>
          <w:sz w:val="24"/>
          <w:szCs w:val="24"/>
        </w:rPr>
        <w:t xml:space="preserve">t political fragmentation, polarization, radicalization, and even domestic terrorism, but it will not extinguish the desire of the oppressed </w:t>
      </w:r>
      <w:r w:rsidR="000D3A5A">
        <w:rPr>
          <w:sz w:val="24"/>
          <w:szCs w:val="24"/>
        </w:rPr>
        <w:t>to have a voice in a democracy.</w:t>
      </w:r>
    </w:p>
    <w:sectPr w:rsidR="00B35AC7" w:rsidRPr="004451F9" w:rsidSect="00296D9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F42" w:rsidRDefault="00825F42" w:rsidP="00111998">
      <w:pPr>
        <w:spacing w:after="0" w:line="240" w:lineRule="auto"/>
      </w:pPr>
      <w:r>
        <w:separator/>
      </w:r>
    </w:p>
  </w:endnote>
  <w:endnote w:type="continuationSeparator" w:id="0">
    <w:p w:rsidR="00825F42" w:rsidRDefault="00825F42" w:rsidP="001119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97708"/>
      <w:docPartObj>
        <w:docPartGallery w:val="Page Numbers (Bottom of Page)"/>
        <w:docPartUnique/>
      </w:docPartObj>
    </w:sdtPr>
    <w:sdtContent>
      <w:p w:rsidR="000D6203" w:rsidRDefault="00B03AF7">
        <w:pPr>
          <w:pStyle w:val="Footer"/>
          <w:jc w:val="center"/>
        </w:pPr>
        <w:fldSimple w:instr=" PAGE   \* MERGEFORMAT ">
          <w:r w:rsidR="000D3A5A">
            <w:rPr>
              <w:noProof/>
            </w:rPr>
            <w:t>1</w:t>
          </w:r>
        </w:fldSimple>
      </w:p>
    </w:sdtContent>
  </w:sdt>
  <w:p w:rsidR="000D6203" w:rsidRDefault="000D62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F42" w:rsidRDefault="00825F42" w:rsidP="00111998">
      <w:pPr>
        <w:spacing w:after="0" w:line="240" w:lineRule="auto"/>
      </w:pPr>
      <w:r>
        <w:separator/>
      </w:r>
    </w:p>
  </w:footnote>
  <w:footnote w:type="continuationSeparator" w:id="0">
    <w:p w:rsidR="00825F42" w:rsidRDefault="00825F42" w:rsidP="00111998">
      <w:pPr>
        <w:spacing w:after="0" w:line="240" w:lineRule="auto"/>
      </w:pPr>
      <w:r>
        <w:continuationSeparator/>
      </w:r>
    </w:p>
  </w:footnote>
  <w:footnote w:id="1">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sidRPr="002128B7">
        <w:rPr>
          <w:rFonts w:cs="Times New Roman"/>
          <w:i/>
        </w:rPr>
        <w:t xml:space="preserve">See </w:t>
      </w:r>
      <w:r w:rsidRPr="002128B7">
        <w:rPr>
          <w:rFonts w:cs="Times New Roman"/>
          <w:smallCaps/>
        </w:rPr>
        <w:t>Staffan I. Lindberg, Democracy and Elections in Africa</w:t>
      </w:r>
      <w:r w:rsidRPr="002128B7">
        <w:rPr>
          <w:rFonts w:cs="Times New Roman"/>
        </w:rPr>
        <w:t xml:space="preserve"> 1 (2006).</w:t>
      </w:r>
    </w:p>
  </w:footnote>
  <w:footnote w:id="2">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sidRPr="002128B7">
        <w:rPr>
          <w:rFonts w:cs="Times New Roman"/>
          <w:i/>
        </w:rPr>
        <w:t>See</w:t>
      </w:r>
      <w:r w:rsidRPr="002128B7">
        <w:rPr>
          <w:rFonts w:cs="Times New Roman"/>
        </w:rPr>
        <w:t xml:space="preserve"> </w:t>
      </w:r>
      <w:r w:rsidRPr="002128B7">
        <w:rPr>
          <w:rFonts w:cs="Times New Roman"/>
          <w:smallCaps/>
        </w:rPr>
        <w:t>Michele Penner Angrist, Party Building in the Modern Middle East</w:t>
      </w:r>
      <w:r w:rsidRPr="002128B7">
        <w:rPr>
          <w:rFonts w:cs="Times New Roman"/>
        </w:rPr>
        <w:t xml:space="preserve"> 11, 16-17 (2006).</w:t>
      </w:r>
    </w:p>
  </w:footnote>
  <w:footnote w:id="3">
    <w:p w:rsidR="000D6203" w:rsidRPr="002128B7" w:rsidRDefault="000D6203" w:rsidP="00B133E5">
      <w:pPr>
        <w:widowControl w:val="0"/>
        <w:spacing w:after="120" w:line="240" w:lineRule="auto"/>
        <w:rPr>
          <w:rFonts w:cs="Times New Roman"/>
          <w:i/>
        </w:rPr>
      </w:pPr>
      <w:r w:rsidRPr="002128B7">
        <w:rPr>
          <w:rStyle w:val="FootnoteReference"/>
          <w:rFonts w:cs="Times New Roman"/>
        </w:rPr>
        <w:footnoteRef/>
      </w:r>
      <w:r w:rsidRPr="002128B7">
        <w:rPr>
          <w:rFonts w:cs="Times New Roman"/>
        </w:rPr>
        <w:t xml:space="preserve"> </w:t>
      </w:r>
      <w:r w:rsidRPr="002128B7">
        <w:rPr>
          <w:rFonts w:cs="Times New Roman"/>
          <w:i/>
        </w:rPr>
        <w:t xml:space="preserve">See </w:t>
      </w:r>
      <w:r w:rsidRPr="002128B7">
        <w:rPr>
          <w:rFonts w:cs="Times New Roman"/>
          <w:iCs/>
        </w:rPr>
        <w:t>Marcin Walecki,</w:t>
      </w:r>
      <w:r w:rsidRPr="002128B7">
        <w:rPr>
          <w:rFonts w:cs="Times New Roman"/>
          <w:i/>
          <w:iCs/>
        </w:rPr>
        <w:t xml:space="preserve"> </w:t>
      </w:r>
      <w:r w:rsidRPr="002128B7">
        <w:rPr>
          <w:rFonts w:cs="Times New Roman"/>
          <w:i/>
        </w:rPr>
        <w:t>Public Funding in Established and Transitional Democracies</w:t>
      </w:r>
      <w:r w:rsidRPr="002128B7">
        <w:rPr>
          <w:rFonts w:cs="Times New Roman"/>
        </w:rPr>
        <w:t xml:space="preserve">, </w:t>
      </w:r>
      <w:r w:rsidRPr="002128B7">
        <w:rPr>
          <w:rFonts w:cs="Times New Roman"/>
          <w:i/>
        </w:rPr>
        <w:t xml:space="preserve">in </w:t>
      </w:r>
      <w:r w:rsidRPr="002128B7">
        <w:rPr>
          <w:rFonts w:cs="Times New Roman"/>
          <w:smallCaps/>
        </w:rPr>
        <w:t>Marcin Walecki</w:t>
      </w:r>
      <w:r>
        <w:rPr>
          <w:rFonts w:cs="Times New Roman"/>
          <w:smallCaps/>
        </w:rPr>
        <w:t xml:space="preserve"> et al.</w:t>
      </w:r>
      <w:r w:rsidRPr="002128B7">
        <w:rPr>
          <w:rFonts w:cs="Times New Roman"/>
          <w:smallCaps/>
        </w:rPr>
        <w:t>, International Foundation for Electoral Systems, Public Funding Solutions for Political Parties in Muslim-Majority Societies</w:t>
      </w:r>
      <w:r w:rsidRPr="002128B7">
        <w:rPr>
          <w:rFonts w:cs="Times New Roman"/>
        </w:rPr>
        <w:t xml:space="preserve"> 25, 26 (2009) </w:t>
      </w:r>
      <w:r>
        <w:rPr>
          <w:rFonts w:cs="Times New Roman"/>
        </w:rPr>
        <w:t xml:space="preserve">[hereinafter </w:t>
      </w:r>
      <w:r w:rsidRPr="00DC46FC">
        <w:rPr>
          <w:rFonts w:cs="Times New Roman"/>
          <w:smallCaps/>
        </w:rPr>
        <w:t>Public Funding Solutions</w:t>
      </w:r>
      <w:r>
        <w:rPr>
          <w:rFonts w:cs="Times New Roman"/>
        </w:rPr>
        <w:t xml:space="preserve">] </w:t>
      </w:r>
      <w:r w:rsidRPr="002128B7">
        <w:rPr>
          <w:rFonts w:cs="Times New Roman"/>
        </w:rPr>
        <w:t xml:space="preserve">(citing </w:t>
      </w:r>
      <w:r w:rsidRPr="002128B7">
        <w:rPr>
          <w:rFonts w:cs="Times New Roman"/>
          <w:smallCaps/>
        </w:rPr>
        <w:t>Elmer E. Schattschneider, Party Government: American Government in Action</w:t>
      </w:r>
      <w:r w:rsidRPr="002128B7">
        <w:rPr>
          <w:rFonts w:cs="Times New Roman"/>
        </w:rPr>
        <w:t xml:space="preserve"> 1 (New York: Transaction Publishers, 2005) (1942)).</w:t>
      </w:r>
    </w:p>
  </w:footnote>
  <w:footnote w:id="4">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sidRPr="002128B7">
        <w:rPr>
          <w:rFonts w:cs="Times New Roman"/>
          <w:iCs/>
        </w:rPr>
        <w:t>Kevin Casas-Zamora,</w:t>
      </w:r>
      <w:r w:rsidRPr="002128B7">
        <w:rPr>
          <w:rFonts w:cs="Times New Roman"/>
          <w:i/>
          <w:iCs/>
        </w:rPr>
        <w:t xml:space="preserve"> Introduction </w:t>
      </w:r>
      <w:r w:rsidRPr="002128B7">
        <w:rPr>
          <w:rFonts w:cs="Times New Roman"/>
          <w:iCs/>
        </w:rPr>
        <w:t>to</w:t>
      </w:r>
      <w:r w:rsidRPr="002128B7">
        <w:rPr>
          <w:rFonts w:cs="Times New Roman"/>
          <w:i/>
        </w:rPr>
        <w:t xml:space="preserve"> </w:t>
      </w:r>
      <w:r w:rsidRPr="00DC46FC">
        <w:rPr>
          <w:rFonts w:cs="Times New Roman"/>
          <w:smallCaps/>
        </w:rPr>
        <w:t>Public Funding Solutions</w:t>
      </w:r>
      <w:r>
        <w:rPr>
          <w:rFonts w:cs="Times New Roman"/>
          <w:smallCaps/>
        </w:rPr>
        <w:t>,</w:t>
      </w:r>
      <w:r w:rsidRPr="002128B7">
        <w:rPr>
          <w:rFonts w:cs="Times New Roman"/>
        </w:rPr>
        <w:t xml:space="preserve"> </w:t>
      </w:r>
      <w:r>
        <w:rPr>
          <w:rFonts w:cs="Times New Roman"/>
          <w:i/>
        </w:rPr>
        <w:t xml:space="preserve">supra </w:t>
      </w:r>
      <w:r>
        <w:rPr>
          <w:rFonts w:cs="Times New Roman"/>
        </w:rPr>
        <w:t>note 3, at 10, 12</w:t>
      </w:r>
      <w:r w:rsidRPr="002128B7">
        <w:rPr>
          <w:rFonts w:cs="Times New Roman"/>
        </w:rPr>
        <w:t>.</w:t>
      </w:r>
    </w:p>
  </w:footnote>
  <w:footnote w:id="5">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Pr>
          <w:rFonts w:cs="Times New Roman"/>
          <w:i/>
        </w:rPr>
        <w:t xml:space="preserve">See </w:t>
      </w:r>
      <w:r>
        <w:rPr>
          <w:rFonts w:cs="Times New Roman"/>
          <w:smallCaps/>
        </w:rPr>
        <w:t xml:space="preserve">Angrist, </w:t>
      </w:r>
      <w:r>
        <w:rPr>
          <w:rFonts w:cs="Times New Roman"/>
          <w:i/>
        </w:rPr>
        <w:t xml:space="preserve">supra </w:t>
      </w:r>
      <w:r>
        <w:rPr>
          <w:rFonts w:cs="Times New Roman"/>
        </w:rPr>
        <w:t xml:space="preserve">note 2, at </w:t>
      </w:r>
      <w:r w:rsidRPr="002128B7">
        <w:rPr>
          <w:rFonts w:cs="Times New Roman"/>
        </w:rPr>
        <w:t>6</w:t>
      </w:r>
      <w:r>
        <w:rPr>
          <w:rFonts w:cs="Times New Roman"/>
        </w:rPr>
        <w:t>-17</w:t>
      </w:r>
      <w:r w:rsidRPr="002128B7">
        <w:rPr>
          <w:rFonts w:cs="Times New Roman"/>
        </w:rPr>
        <w:t>.</w:t>
      </w:r>
    </w:p>
  </w:footnote>
  <w:footnote w:id="6">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Pr>
          <w:rFonts w:cs="Times New Roman"/>
          <w:i/>
        </w:rPr>
        <w:t>See id.</w:t>
      </w:r>
      <w:r>
        <w:rPr>
          <w:rFonts w:cs="Times New Roman"/>
        </w:rPr>
        <w:t xml:space="preserve"> at 12</w:t>
      </w:r>
      <w:r w:rsidRPr="002128B7">
        <w:rPr>
          <w:rFonts w:cs="Times New Roman"/>
        </w:rPr>
        <w:t xml:space="preserve">. </w:t>
      </w:r>
      <w:r w:rsidRPr="002128B7">
        <w:rPr>
          <w:rFonts w:cs="Times New Roman"/>
          <w:i/>
        </w:rPr>
        <w:t xml:space="preserve">See also </w:t>
      </w:r>
      <w:r w:rsidRPr="002128B7">
        <w:rPr>
          <w:rFonts w:cs="Times New Roman"/>
          <w:iCs/>
        </w:rPr>
        <w:t>Casas-Zamora,</w:t>
      </w:r>
      <w:r w:rsidRPr="002128B7">
        <w:rPr>
          <w:rFonts w:cs="Times New Roman"/>
          <w:i/>
          <w:iCs/>
        </w:rPr>
        <w:t xml:space="preserve"> </w:t>
      </w:r>
      <w:r>
        <w:rPr>
          <w:rFonts w:cs="Times New Roman"/>
          <w:i/>
          <w:iCs/>
        </w:rPr>
        <w:t xml:space="preserve">supra </w:t>
      </w:r>
      <w:r>
        <w:rPr>
          <w:rFonts w:cs="Times New Roman"/>
          <w:iCs/>
        </w:rPr>
        <w:t>note 4, at</w:t>
      </w:r>
      <w:r>
        <w:rPr>
          <w:rFonts w:cs="Times New Roman"/>
        </w:rPr>
        <w:t xml:space="preserve"> 12</w:t>
      </w:r>
      <w:r w:rsidRPr="002128B7">
        <w:rPr>
          <w:rFonts w:cs="Times New Roman"/>
        </w:rPr>
        <w:t xml:space="preserve"> ("[I]n the context of democratic transitions, political parties – autonomous parties, that is – can play crucial roles in denouncing authoritarian abuses, curbing the power of incumbent regimes, integrating new constituencies into the political process, and furthering the cause of democratic political reform.").</w:t>
      </w:r>
    </w:p>
  </w:footnote>
  <w:footnote w:id="7">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Pr>
          <w:rFonts w:cs="Times New Roman"/>
          <w:i/>
        </w:rPr>
        <w:t xml:space="preserve">See </w:t>
      </w:r>
      <w:r>
        <w:rPr>
          <w:rFonts w:cs="Times New Roman"/>
          <w:smallCaps/>
        </w:rPr>
        <w:t xml:space="preserve">Angrist, </w:t>
      </w:r>
      <w:r>
        <w:rPr>
          <w:rFonts w:cs="Times New Roman"/>
          <w:i/>
        </w:rPr>
        <w:t xml:space="preserve">supra </w:t>
      </w:r>
      <w:r>
        <w:rPr>
          <w:rFonts w:cs="Times New Roman"/>
        </w:rPr>
        <w:t>note 2, at 12-13</w:t>
      </w:r>
      <w:r w:rsidRPr="002128B7">
        <w:rPr>
          <w:rFonts w:cs="Times New Roman"/>
        </w:rPr>
        <w:t>.</w:t>
      </w:r>
    </w:p>
  </w:footnote>
  <w:footnote w:id="8">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Pr>
          <w:rFonts w:cs="Times New Roman"/>
          <w:i/>
        </w:rPr>
        <w:t xml:space="preserve">See id. </w:t>
      </w:r>
      <w:r>
        <w:rPr>
          <w:rFonts w:cs="Times New Roman"/>
        </w:rPr>
        <w:t>at 12</w:t>
      </w:r>
      <w:r w:rsidRPr="002128B7">
        <w:rPr>
          <w:rFonts w:cs="Times New Roman"/>
        </w:rPr>
        <w:t>.</w:t>
      </w:r>
    </w:p>
  </w:footnote>
  <w:footnote w:id="9">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sidRPr="002128B7">
        <w:rPr>
          <w:rFonts w:cs="Times New Roman"/>
          <w:i/>
        </w:rPr>
        <w:t xml:space="preserve">See </w:t>
      </w:r>
      <w:r>
        <w:rPr>
          <w:rFonts w:cs="Times New Roman"/>
          <w:smallCaps/>
        </w:rPr>
        <w:t xml:space="preserve">Lindberg, </w:t>
      </w:r>
      <w:r>
        <w:rPr>
          <w:rFonts w:cs="Times New Roman"/>
          <w:i/>
        </w:rPr>
        <w:t xml:space="preserve">supra </w:t>
      </w:r>
      <w:r>
        <w:rPr>
          <w:rFonts w:cs="Times New Roman"/>
        </w:rPr>
        <w:t>note 1, at 6-7</w:t>
      </w:r>
      <w:r w:rsidRPr="002128B7">
        <w:rPr>
          <w:rFonts w:cs="Times New Roman"/>
        </w:rPr>
        <w:t>.</w:t>
      </w:r>
    </w:p>
  </w:footnote>
  <w:footnote w:id="10">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Pr>
          <w:rFonts w:cs="Times New Roman"/>
          <w:i/>
        </w:rPr>
        <w:t>Id.</w:t>
      </w:r>
      <w:r>
        <w:rPr>
          <w:rFonts w:cs="Times New Roman"/>
        </w:rPr>
        <w:t xml:space="preserve"> at 6</w:t>
      </w:r>
      <w:r w:rsidRPr="002128B7">
        <w:rPr>
          <w:rFonts w:cs="Times New Roman"/>
        </w:rPr>
        <w:t>.</w:t>
      </w:r>
    </w:p>
  </w:footnote>
  <w:footnote w:id="11">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Pr>
          <w:rFonts w:cs="Times New Roman"/>
          <w:i/>
        </w:rPr>
        <w:t>Id.</w:t>
      </w:r>
    </w:p>
  </w:footnote>
  <w:footnote w:id="12">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Pr>
          <w:rFonts w:cs="Times New Roman"/>
          <w:i/>
        </w:rPr>
        <w:t xml:space="preserve">See </w:t>
      </w:r>
      <w:r>
        <w:rPr>
          <w:rFonts w:cs="Times New Roman"/>
          <w:smallCaps/>
        </w:rPr>
        <w:t xml:space="preserve">Angrist, </w:t>
      </w:r>
      <w:r>
        <w:rPr>
          <w:rFonts w:cs="Times New Roman"/>
          <w:i/>
        </w:rPr>
        <w:t xml:space="preserve">supra </w:t>
      </w:r>
      <w:r>
        <w:rPr>
          <w:rFonts w:cs="Times New Roman"/>
        </w:rPr>
        <w:t>note 2, at 16-17</w:t>
      </w:r>
      <w:r w:rsidRPr="002128B7">
        <w:rPr>
          <w:rFonts w:cs="Times New Roman"/>
        </w:rPr>
        <w:t>.</w:t>
      </w:r>
    </w:p>
  </w:footnote>
  <w:footnote w:id="13">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Pr>
          <w:rFonts w:cs="Times New Roman"/>
          <w:i/>
        </w:rPr>
        <w:t xml:space="preserve">See </w:t>
      </w:r>
      <w:r w:rsidRPr="002128B7">
        <w:rPr>
          <w:rFonts w:cs="Times New Roman"/>
        </w:rPr>
        <w:t xml:space="preserve">Metin Heper, </w:t>
      </w:r>
      <w:r w:rsidRPr="002128B7">
        <w:rPr>
          <w:rFonts w:cs="Times New Roman"/>
          <w:i/>
        </w:rPr>
        <w:t xml:space="preserve">Introduction </w:t>
      </w:r>
      <w:r w:rsidRPr="002128B7">
        <w:rPr>
          <w:rFonts w:cs="Times New Roman"/>
        </w:rPr>
        <w:t xml:space="preserve">to </w:t>
      </w:r>
      <w:r w:rsidRPr="002128B7">
        <w:rPr>
          <w:rFonts w:cs="Times New Roman"/>
          <w:smallCaps/>
        </w:rPr>
        <w:t>Political Parties and Democracy in Turkey</w:t>
      </w:r>
      <w:r w:rsidRPr="002128B7">
        <w:rPr>
          <w:rFonts w:cs="Times New Roman"/>
        </w:rPr>
        <w:t xml:space="preserve"> 1, 1 (Metin Heper &amp; Jacob M. Landau eds., 1991)</w:t>
      </w:r>
    </w:p>
  </w:footnote>
  <w:footnote w:id="14">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sidRPr="002128B7">
        <w:rPr>
          <w:rFonts w:cs="Times New Roman"/>
          <w:i/>
        </w:rPr>
        <w:t>See, e.g.</w:t>
      </w:r>
      <w:r w:rsidRPr="002128B7">
        <w:rPr>
          <w:rFonts w:cs="Times New Roman"/>
        </w:rPr>
        <w:t xml:space="preserve">, </w:t>
      </w:r>
      <w:r>
        <w:rPr>
          <w:rFonts w:cs="Times New Roman"/>
          <w:smallCaps/>
        </w:rPr>
        <w:t xml:space="preserve">Angrist, </w:t>
      </w:r>
      <w:r>
        <w:rPr>
          <w:rFonts w:cs="Times New Roman"/>
          <w:i/>
        </w:rPr>
        <w:t xml:space="preserve">supra </w:t>
      </w:r>
      <w:r>
        <w:rPr>
          <w:rFonts w:cs="Times New Roman"/>
        </w:rPr>
        <w:t>note 2, at 4</w:t>
      </w:r>
      <w:r w:rsidRPr="002128B7">
        <w:rPr>
          <w:rFonts w:cs="Times New Roman"/>
        </w:rPr>
        <w:t xml:space="preserve">; </w:t>
      </w:r>
      <w:r w:rsidRPr="002128B7">
        <w:rPr>
          <w:rFonts w:cs="Times New Roman"/>
          <w:iCs/>
        </w:rPr>
        <w:t xml:space="preserve">Casas-Zamora, </w:t>
      </w:r>
      <w:r>
        <w:rPr>
          <w:rFonts w:cs="Times New Roman"/>
          <w:i/>
          <w:iCs/>
        </w:rPr>
        <w:t xml:space="preserve">supra </w:t>
      </w:r>
      <w:r>
        <w:rPr>
          <w:rFonts w:cs="Times New Roman"/>
          <w:iCs/>
        </w:rPr>
        <w:t>note 4, at</w:t>
      </w:r>
      <w:r>
        <w:rPr>
          <w:rFonts w:cs="Times New Roman"/>
        </w:rPr>
        <w:t xml:space="preserve"> 19</w:t>
      </w:r>
      <w:r w:rsidRPr="002128B7">
        <w:rPr>
          <w:rFonts w:cs="Times New Roman"/>
        </w:rPr>
        <w:t xml:space="preserve">; Tom Lodge, </w:t>
      </w:r>
      <w:r w:rsidRPr="002128B7">
        <w:rPr>
          <w:rFonts w:cs="Times New Roman"/>
          <w:i/>
        </w:rPr>
        <w:t>The Future of South Africa's Party System</w:t>
      </w:r>
      <w:r w:rsidRPr="002128B7">
        <w:rPr>
          <w:rFonts w:cs="Times New Roman"/>
        </w:rPr>
        <w:t xml:space="preserve">, </w:t>
      </w:r>
      <w:r w:rsidRPr="002128B7">
        <w:rPr>
          <w:rFonts w:cs="Times New Roman"/>
          <w:smallCaps/>
        </w:rPr>
        <w:t>J. Democracy</w:t>
      </w:r>
      <w:r w:rsidRPr="002128B7">
        <w:rPr>
          <w:rFonts w:cs="Times New Roman"/>
        </w:rPr>
        <w:t>, July 2006, at 152, 152.</w:t>
      </w:r>
    </w:p>
  </w:footnote>
  <w:footnote w:id="15">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sidRPr="002128B7">
        <w:rPr>
          <w:rFonts w:cs="Times New Roman"/>
          <w:i/>
        </w:rPr>
        <w:t xml:space="preserve">See </w:t>
      </w:r>
      <w:r w:rsidRPr="002128B7">
        <w:rPr>
          <w:rFonts w:cs="Times New Roman"/>
          <w:iCs/>
        </w:rPr>
        <w:t xml:space="preserve">Casas-Zamora, </w:t>
      </w:r>
      <w:r>
        <w:rPr>
          <w:rFonts w:cs="Times New Roman"/>
          <w:i/>
          <w:iCs/>
        </w:rPr>
        <w:t xml:space="preserve">supra </w:t>
      </w:r>
      <w:r>
        <w:rPr>
          <w:rFonts w:cs="Times New Roman"/>
          <w:iCs/>
        </w:rPr>
        <w:t>note 4, at</w:t>
      </w:r>
      <w:r w:rsidRPr="002128B7">
        <w:rPr>
          <w:rFonts w:cs="Times New Roman"/>
        </w:rPr>
        <w:t xml:space="preserve"> 13 (2009).</w:t>
      </w:r>
    </w:p>
  </w:footnote>
  <w:footnote w:id="16">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sidRPr="002128B7">
        <w:rPr>
          <w:rFonts w:cs="Times New Roman"/>
          <w:i/>
        </w:rPr>
        <w:t>See</w:t>
      </w:r>
      <w:r w:rsidRPr="002128B7">
        <w:rPr>
          <w:rFonts w:cs="Times New Roman"/>
        </w:rPr>
        <w:t xml:space="preserve"> </w:t>
      </w:r>
      <w:r w:rsidRPr="002128B7">
        <w:rPr>
          <w:rFonts w:cs="Times New Roman"/>
          <w:smallCaps/>
        </w:rPr>
        <w:t>Gretchen Bauer &amp; Scott D. Taylor, Politics in Southern Africa</w:t>
      </w:r>
      <w:r w:rsidRPr="002128B7">
        <w:rPr>
          <w:rFonts w:cs="Times New Roman"/>
        </w:rPr>
        <w:t xml:space="preserve"> 4 (2005); </w:t>
      </w:r>
      <w:r>
        <w:rPr>
          <w:rFonts w:cs="Times New Roman"/>
          <w:smallCaps/>
        </w:rPr>
        <w:t xml:space="preserve">Angrist, </w:t>
      </w:r>
      <w:r>
        <w:rPr>
          <w:rFonts w:cs="Times New Roman"/>
          <w:i/>
        </w:rPr>
        <w:t xml:space="preserve">supra </w:t>
      </w:r>
      <w:r>
        <w:rPr>
          <w:rFonts w:cs="Times New Roman"/>
        </w:rPr>
        <w:t>note 2, at 25</w:t>
      </w:r>
      <w:r w:rsidRPr="002128B7">
        <w:rPr>
          <w:rFonts w:cs="Times New Roman"/>
        </w:rPr>
        <w:t xml:space="preserve">; Dankwart A. Rustow, </w:t>
      </w:r>
      <w:r w:rsidRPr="002128B7">
        <w:rPr>
          <w:rFonts w:cs="Times New Roman"/>
          <w:i/>
        </w:rPr>
        <w:t>Political Parties in Turkey: An Overview</w:t>
      </w:r>
      <w:r w:rsidRPr="002128B7">
        <w:rPr>
          <w:rFonts w:cs="Times New Roman"/>
        </w:rPr>
        <w:t xml:space="preserve">, </w:t>
      </w:r>
      <w:r w:rsidRPr="002128B7">
        <w:rPr>
          <w:rFonts w:cs="Times New Roman"/>
          <w:i/>
        </w:rPr>
        <w:t>in</w:t>
      </w:r>
      <w:r w:rsidRPr="002128B7">
        <w:rPr>
          <w:rFonts w:cs="Times New Roman"/>
        </w:rPr>
        <w:t xml:space="preserve"> </w:t>
      </w:r>
      <w:r w:rsidRPr="002128B7">
        <w:rPr>
          <w:rFonts w:cs="Times New Roman"/>
          <w:smallCaps/>
        </w:rPr>
        <w:t>Political Parties and Democracy in Turkey</w:t>
      </w:r>
      <w:r>
        <w:rPr>
          <w:rFonts w:cs="Times New Roman"/>
          <w:smallCaps/>
        </w:rPr>
        <w:t>,</w:t>
      </w:r>
      <w:r w:rsidRPr="002128B7">
        <w:rPr>
          <w:rFonts w:cs="Times New Roman"/>
        </w:rPr>
        <w:t xml:space="preserve"> </w:t>
      </w:r>
      <w:r>
        <w:rPr>
          <w:rFonts w:cs="Times New Roman"/>
          <w:i/>
        </w:rPr>
        <w:t xml:space="preserve">supra </w:t>
      </w:r>
      <w:r>
        <w:rPr>
          <w:rFonts w:cs="Times New Roman"/>
        </w:rPr>
        <w:t xml:space="preserve">note 13, at </w:t>
      </w:r>
      <w:r w:rsidRPr="002128B7">
        <w:rPr>
          <w:rFonts w:cs="Times New Roman"/>
        </w:rPr>
        <w:t>10, 11.</w:t>
      </w:r>
    </w:p>
  </w:footnote>
  <w:footnote w:id="17">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sidRPr="002128B7">
        <w:rPr>
          <w:rFonts w:cs="Times New Roman"/>
          <w:i/>
        </w:rPr>
        <w:t>See</w:t>
      </w:r>
      <w:r w:rsidRPr="002128B7">
        <w:rPr>
          <w:rFonts w:cs="Times New Roman"/>
        </w:rPr>
        <w:t xml:space="preserve"> </w:t>
      </w:r>
      <w:r>
        <w:rPr>
          <w:rFonts w:cs="Times New Roman"/>
          <w:smallCaps/>
        </w:rPr>
        <w:t xml:space="preserve">Angrist, </w:t>
      </w:r>
      <w:r>
        <w:rPr>
          <w:rFonts w:cs="Times New Roman"/>
          <w:i/>
        </w:rPr>
        <w:t xml:space="preserve">supra </w:t>
      </w:r>
      <w:r>
        <w:rPr>
          <w:rFonts w:cs="Times New Roman"/>
        </w:rPr>
        <w:t>note 2, at 23, 26</w:t>
      </w:r>
      <w:r w:rsidRPr="002128B7">
        <w:rPr>
          <w:rFonts w:cs="Times New Roman"/>
        </w:rPr>
        <w:t>.</w:t>
      </w:r>
    </w:p>
  </w:footnote>
  <w:footnote w:id="18">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sidRPr="002128B7">
        <w:rPr>
          <w:rFonts w:cs="Times New Roman"/>
          <w:i/>
        </w:rPr>
        <w:t>See</w:t>
      </w:r>
      <w:r w:rsidRPr="002128B7">
        <w:rPr>
          <w:rFonts w:cs="Times New Roman"/>
        </w:rPr>
        <w:t xml:space="preserve"> </w:t>
      </w:r>
      <w:r>
        <w:rPr>
          <w:rFonts w:cs="Times New Roman"/>
          <w:smallCaps/>
        </w:rPr>
        <w:t xml:space="preserve">Bauer &amp; Taylor, </w:t>
      </w:r>
      <w:r>
        <w:rPr>
          <w:rFonts w:cs="Times New Roman"/>
          <w:i/>
        </w:rPr>
        <w:t xml:space="preserve">supra </w:t>
      </w:r>
      <w:r>
        <w:rPr>
          <w:rFonts w:cs="Times New Roman"/>
        </w:rPr>
        <w:t>note 16, at 12</w:t>
      </w:r>
      <w:r w:rsidRPr="002128B7">
        <w:rPr>
          <w:rFonts w:cs="Times New Roman"/>
        </w:rPr>
        <w:t>.</w:t>
      </w:r>
    </w:p>
  </w:footnote>
  <w:footnote w:id="19">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Scholars alternatively date Turkey's democratization from the </w:t>
      </w:r>
      <w:r>
        <w:rPr>
          <w:rFonts w:cs="Times New Roman"/>
        </w:rPr>
        <w:t xml:space="preserve">birth of the Republic </w:t>
      </w:r>
      <w:r w:rsidRPr="002128B7">
        <w:rPr>
          <w:rFonts w:cs="Times New Roman"/>
        </w:rPr>
        <w:t xml:space="preserve">in 1923 or from the date of the first free and fair elections in 1950. </w:t>
      </w:r>
      <w:r w:rsidRPr="002128B7">
        <w:rPr>
          <w:rFonts w:cs="Times New Roman"/>
          <w:i/>
        </w:rPr>
        <w:t>Compare</w:t>
      </w:r>
      <w:r w:rsidRPr="002128B7">
        <w:rPr>
          <w:rFonts w:cs="Times New Roman"/>
        </w:rPr>
        <w:t xml:space="preserve"> Omer Faruk Genckaya, </w:t>
      </w:r>
      <w:r w:rsidRPr="002128B7">
        <w:rPr>
          <w:rFonts w:cs="Times New Roman"/>
          <w:i/>
        </w:rPr>
        <w:t>Public Funding of Political Parties: The Case of Turkey</w:t>
      </w:r>
      <w:r w:rsidRPr="002128B7">
        <w:rPr>
          <w:rFonts w:cs="Times New Roman"/>
        </w:rPr>
        <w:t xml:space="preserve">, </w:t>
      </w:r>
      <w:r w:rsidRPr="002128B7">
        <w:rPr>
          <w:rFonts w:cs="Times New Roman"/>
          <w:i/>
        </w:rPr>
        <w:t xml:space="preserve">in </w:t>
      </w:r>
      <w:r w:rsidRPr="00DC46FC">
        <w:rPr>
          <w:rFonts w:cs="Times New Roman"/>
          <w:smallCaps/>
        </w:rPr>
        <w:t>Public Funding Solutions</w:t>
      </w:r>
      <w:r>
        <w:rPr>
          <w:rFonts w:cs="Times New Roman"/>
          <w:smallCaps/>
        </w:rPr>
        <w:t>,</w:t>
      </w:r>
      <w:r w:rsidRPr="002128B7">
        <w:rPr>
          <w:rFonts w:cs="Times New Roman"/>
        </w:rPr>
        <w:t xml:space="preserve"> </w:t>
      </w:r>
      <w:r>
        <w:rPr>
          <w:rFonts w:cs="Times New Roman"/>
          <w:i/>
        </w:rPr>
        <w:t xml:space="preserve">supra </w:t>
      </w:r>
      <w:r>
        <w:rPr>
          <w:rFonts w:cs="Times New Roman"/>
        </w:rPr>
        <w:t>note 3, at 39, 41</w:t>
      </w:r>
      <w:r w:rsidRPr="002128B7">
        <w:rPr>
          <w:rFonts w:cs="Times New Roman"/>
        </w:rPr>
        <w:t xml:space="preserve">, </w:t>
      </w:r>
      <w:r w:rsidRPr="002128B7">
        <w:rPr>
          <w:rFonts w:cs="Times New Roman"/>
          <w:i/>
        </w:rPr>
        <w:t>with</w:t>
      </w:r>
      <w:r w:rsidRPr="002128B7">
        <w:rPr>
          <w:rFonts w:cs="Times New Roman"/>
        </w:rPr>
        <w:t xml:space="preserve"> </w:t>
      </w:r>
      <w:r>
        <w:rPr>
          <w:rFonts w:cs="Times New Roman"/>
          <w:smallCaps/>
        </w:rPr>
        <w:t xml:space="preserve">Angrist, </w:t>
      </w:r>
      <w:r>
        <w:rPr>
          <w:rFonts w:cs="Times New Roman"/>
          <w:i/>
        </w:rPr>
        <w:t xml:space="preserve">supra </w:t>
      </w:r>
      <w:r>
        <w:rPr>
          <w:rFonts w:cs="Times New Roman"/>
        </w:rPr>
        <w:t>note 2, at 3</w:t>
      </w:r>
      <w:r w:rsidRPr="002128B7">
        <w:rPr>
          <w:rFonts w:cs="Times New Roman"/>
        </w:rPr>
        <w:t>.</w:t>
      </w:r>
    </w:p>
  </w:footnote>
  <w:footnote w:id="20">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sidRPr="002128B7">
        <w:rPr>
          <w:rFonts w:cs="Times New Roman"/>
          <w:i/>
        </w:rPr>
        <w:t xml:space="preserve">See </w:t>
      </w:r>
      <w:r>
        <w:rPr>
          <w:rFonts w:cs="Times New Roman"/>
          <w:smallCaps/>
        </w:rPr>
        <w:t xml:space="preserve">Bauer &amp; Taylor, </w:t>
      </w:r>
      <w:r>
        <w:rPr>
          <w:rFonts w:cs="Times New Roman"/>
          <w:i/>
        </w:rPr>
        <w:t xml:space="preserve">supra </w:t>
      </w:r>
      <w:r>
        <w:rPr>
          <w:rFonts w:cs="Times New Roman"/>
        </w:rPr>
        <w:t>note 16, at 237</w:t>
      </w:r>
      <w:r w:rsidRPr="002128B7">
        <w:rPr>
          <w:rFonts w:cs="Times New Roman"/>
        </w:rPr>
        <w:t xml:space="preserve">; </w:t>
      </w:r>
      <w:r>
        <w:rPr>
          <w:rFonts w:cs="Times New Roman"/>
          <w:smallCaps/>
        </w:rPr>
        <w:t xml:space="preserve">Lindberg, </w:t>
      </w:r>
      <w:r>
        <w:rPr>
          <w:rFonts w:cs="Times New Roman"/>
          <w:i/>
        </w:rPr>
        <w:t xml:space="preserve">supra </w:t>
      </w:r>
      <w:r>
        <w:rPr>
          <w:rFonts w:cs="Times New Roman"/>
        </w:rPr>
        <w:t>note 1, app.4 at 191</w:t>
      </w:r>
      <w:r w:rsidRPr="002128B7">
        <w:rPr>
          <w:rFonts w:cs="Times New Roman"/>
        </w:rPr>
        <w:t xml:space="preserve">. </w:t>
      </w:r>
    </w:p>
  </w:footnote>
  <w:footnote w:id="21">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sidRPr="002128B7">
        <w:rPr>
          <w:rFonts w:cs="Times New Roman"/>
          <w:i/>
        </w:rPr>
        <w:t xml:space="preserve">See </w:t>
      </w:r>
      <w:r w:rsidRPr="002128B7">
        <w:rPr>
          <w:rFonts w:cs="Times New Roman"/>
        </w:rPr>
        <w:t xml:space="preserve">Genckaya, </w:t>
      </w:r>
      <w:r>
        <w:rPr>
          <w:rFonts w:cs="Times New Roman"/>
          <w:i/>
        </w:rPr>
        <w:t xml:space="preserve">supra </w:t>
      </w:r>
      <w:r>
        <w:rPr>
          <w:rFonts w:cs="Times New Roman"/>
        </w:rPr>
        <w:t>note 19, at 41</w:t>
      </w:r>
      <w:r w:rsidRPr="002128B7">
        <w:rPr>
          <w:rFonts w:cs="Times New Roman"/>
        </w:rPr>
        <w:t xml:space="preserve"> (citing </w:t>
      </w:r>
      <w:r w:rsidRPr="002128B7">
        <w:rPr>
          <w:rFonts w:cs="Times New Roman"/>
          <w:smallCaps/>
        </w:rPr>
        <w:t>Ergun Ozbudun, Contemporary Turkish Politics, Challenges to Democratic Consolidation</w:t>
      </w:r>
      <w:r>
        <w:rPr>
          <w:rFonts w:cs="Times New Roman"/>
        </w:rPr>
        <w:t xml:space="preserve"> 105-123 (2000)); </w:t>
      </w:r>
      <w:r w:rsidRPr="002128B7">
        <w:rPr>
          <w:rFonts w:cs="Times New Roman"/>
        </w:rPr>
        <w:t xml:space="preserve">Rustow, </w:t>
      </w:r>
      <w:r>
        <w:rPr>
          <w:rFonts w:cs="Times New Roman"/>
          <w:i/>
        </w:rPr>
        <w:t xml:space="preserve">supra </w:t>
      </w:r>
      <w:r>
        <w:rPr>
          <w:rFonts w:cs="Times New Roman"/>
        </w:rPr>
        <w:t>note 16, at 12-13</w:t>
      </w:r>
      <w:r w:rsidRPr="002128B7">
        <w:rPr>
          <w:rFonts w:cs="Times New Roman"/>
        </w:rPr>
        <w:t>.</w:t>
      </w:r>
    </w:p>
  </w:footnote>
  <w:footnote w:id="22">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sidRPr="002128B7">
        <w:rPr>
          <w:rFonts w:cs="Times New Roman"/>
          <w:i/>
        </w:rPr>
        <w:t xml:space="preserve">See </w:t>
      </w:r>
      <w:r>
        <w:rPr>
          <w:rFonts w:cs="Times New Roman"/>
          <w:smallCaps/>
        </w:rPr>
        <w:t xml:space="preserve">Bauer &amp; Taylor, </w:t>
      </w:r>
      <w:r>
        <w:rPr>
          <w:rFonts w:cs="Times New Roman"/>
          <w:i/>
        </w:rPr>
        <w:t xml:space="preserve">supra </w:t>
      </w:r>
      <w:r>
        <w:rPr>
          <w:rFonts w:cs="Times New Roman"/>
        </w:rPr>
        <w:t>note 16, at 232</w:t>
      </w:r>
      <w:r w:rsidRPr="002128B7">
        <w:rPr>
          <w:rFonts w:cs="Times New Roman"/>
        </w:rPr>
        <w:t>.</w:t>
      </w:r>
    </w:p>
  </w:footnote>
  <w:footnote w:id="23">
    <w:p w:rsidR="000D6203" w:rsidRDefault="000D6203" w:rsidP="00B133E5">
      <w:pPr>
        <w:pStyle w:val="FootnoteText"/>
        <w:widowControl w:val="0"/>
        <w:spacing w:after="120"/>
      </w:pPr>
      <w:r>
        <w:rPr>
          <w:rStyle w:val="FootnoteReference"/>
        </w:rPr>
        <w:footnoteRef/>
      </w:r>
      <w:r>
        <w:t xml:space="preserve"> </w:t>
      </w:r>
      <w:r w:rsidRPr="002128B7">
        <w:rPr>
          <w:rFonts w:cs="Times New Roman"/>
          <w:i/>
        </w:rPr>
        <w:t xml:space="preserve">See </w:t>
      </w:r>
      <w:r>
        <w:rPr>
          <w:rFonts w:cs="Times New Roman"/>
          <w:smallCaps/>
        </w:rPr>
        <w:t xml:space="preserve">Angrist, </w:t>
      </w:r>
      <w:r>
        <w:rPr>
          <w:rFonts w:cs="Times New Roman"/>
          <w:i/>
        </w:rPr>
        <w:t xml:space="preserve">supra </w:t>
      </w:r>
      <w:r>
        <w:rPr>
          <w:rFonts w:cs="Times New Roman"/>
        </w:rPr>
        <w:t>note 2, at 3-4</w:t>
      </w:r>
      <w:r w:rsidRPr="002128B7">
        <w:rPr>
          <w:rFonts w:cs="Times New Roman"/>
        </w:rPr>
        <w:t>.</w:t>
      </w:r>
    </w:p>
  </w:footnote>
  <w:footnote w:id="24">
    <w:p w:rsidR="000D6203" w:rsidRDefault="000D6203" w:rsidP="00B133E5">
      <w:pPr>
        <w:pStyle w:val="FootnoteText"/>
        <w:widowControl w:val="0"/>
        <w:spacing w:after="120"/>
      </w:pPr>
      <w:r>
        <w:rPr>
          <w:rStyle w:val="FootnoteReference"/>
        </w:rPr>
        <w:footnoteRef/>
      </w:r>
      <w:r>
        <w:t xml:space="preserve"> </w:t>
      </w:r>
      <w:r w:rsidRPr="002128B7">
        <w:rPr>
          <w:rFonts w:cs="Times New Roman"/>
          <w:i/>
        </w:rPr>
        <w:t xml:space="preserve">See </w:t>
      </w:r>
      <w:r w:rsidRPr="002128B7">
        <w:rPr>
          <w:rFonts w:cs="Times New Roman"/>
          <w:smallCaps/>
        </w:rPr>
        <w:t>Sina Akşin, Turkey: From Empire to Revolutionary Republic</w:t>
      </w:r>
      <w:r>
        <w:rPr>
          <w:rFonts w:cs="Times New Roman"/>
        </w:rPr>
        <w:t xml:space="preserve"> 282</w:t>
      </w:r>
      <w:r w:rsidRPr="002128B7">
        <w:rPr>
          <w:rFonts w:cs="Times New Roman"/>
        </w:rPr>
        <w:t xml:space="preserve"> (Dexter H. Mursaloğlu trans, New York University Press 2007).</w:t>
      </w:r>
    </w:p>
  </w:footnote>
  <w:footnote w:id="25">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sidRPr="002128B7">
        <w:rPr>
          <w:rFonts w:cs="Times New Roman"/>
          <w:i/>
        </w:rPr>
        <w:t xml:space="preserve">See </w:t>
      </w:r>
      <w:r>
        <w:rPr>
          <w:rFonts w:cs="Times New Roman"/>
          <w:smallCaps/>
        </w:rPr>
        <w:t xml:space="preserve">Angrist, </w:t>
      </w:r>
      <w:r>
        <w:rPr>
          <w:rFonts w:cs="Times New Roman"/>
          <w:i/>
        </w:rPr>
        <w:t xml:space="preserve">supra </w:t>
      </w:r>
      <w:r>
        <w:rPr>
          <w:rFonts w:cs="Times New Roman"/>
        </w:rPr>
        <w:t>note 2, at 25-26</w:t>
      </w:r>
      <w:r w:rsidRPr="002128B7">
        <w:rPr>
          <w:rFonts w:cs="Times New Roman"/>
        </w:rPr>
        <w:t>.</w:t>
      </w:r>
    </w:p>
  </w:footnote>
  <w:footnote w:id="26">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sidRPr="002128B7">
        <w:rPr>
          <w:rFonts w:cs="Times New Roman"/>
          <w:i/>
        </w:rPr>
        <w:t xml:space="preserve">See </w:t>
      </w:r>
      <w:r w:rsidRPr="002128B7">
        <w:rPr>
          <w:rFonts w:cs="Times New Roman"/>
        </w:rPr>
        <w:t xml:space="preserve">Kemal H. Karpat, </w:t>
      </w:r>
      <w:r w:rsidRPr="002128B7">
        <w:rPr>
          <w:rFonts w:cs="Times New Roman"/>
          <w:i/>
        </w:rPr>
        <w:t>The Republican People's Party, 1923-1945</w:t>
      </w:r>
      <w:r w:rsidRPr="002128B7">
        <w:rPr>
          <w:rFonts w:cs="Times New Roman"/>
        </w:rPr>
        <w:t xml:space="preserve">, </w:t>
      </w:r>
      <w:r w:rsidRPr="002128B7">
        <w:rPr>
          <w:rFonts w:cs="Times New Roman"/>
          <w:i/>
        </w:rPr>
        <w:t xml:space="preserve">in </w:t>
      </w:r>
      <w:r w:rsidRPr="002128B7">
        <w:rPr>
          <w:rFonts w:cs="Times New Roman"/>
          <w:smallCaps/>
        </w:rPr>
        <w:t>Political Parties and Democracy in Turkey</w:t>
      </w:r>
      <w:r>
        <w:rPr>
          <w:rFonts w:cs="Times New Roman"/>
          <w:smallCaps/>
        </w:rPr>
        <w:t>,</w:t>
      </w:r>
      <w:r w:rsidRPr="002128B7">
        <w:rPr>
          <w:rFonts w:cs="Times New Roman"/>
        </w:rPr>
        <w:t xml:space="preserve"> </w:t>
      </w:r>
      <w:r>
        <w:rPr>
          <w:rFonts w:cs="Times New Roman"/>
          <w:i/>
        </w:rPr>
        <w:t xml:space="preserve">supra </w:t>
      </w:r>
      <w:r>
        <w:rPr>
          <w:rFonts w:cs="Times New Roman"/>
        </w:rPr>
        <w:t xml:space="preserve">note 13, at </w:t>
      </w:r>
      <w:r w:rsidRPr="002128B7">
        <w:rPr>
          <w:rFonts w:cs="Times New Roman"/>
        </w:rPr>
        <w:t xml:space="preserve">42, 43, 48; </w:t>
      </w:r>
      <w:r w:rsidRPr="002128B7">
        <w:rPr>
          <w:rFonts w:cs="Times New Roman"/>
          <w:smallCaps/>
        </w:rPr>
        <w:t>Kemal H. Karpat,</w:t>
      </w:r>
      <w:r w:rsidRPr="002128B7">
        <w:rPr>
          <w:rFonts w:cs="Times New Roman"/>
        </w:rPr>
        <w:t xml:space="preserve"> </w:t>
      </w:r>
      <w:r w:rsidRPr="002128B7">
        <w:rPr>
          <w:rFonts w:cs="Times New Roman"/>
          <w:smallCaps/>
        </w:rPr>
        <w:t xml:space="preserve">Turkey's Politics </w:t>
      </w:r>
      <w:r w:rsidRPr="002128B7">
        <w:rPr>
          <w:rFonts w:cs="Times New Roman"/>
        </w:rPr>
        <w:t>5-6 &amp; n.7 (1959).</w:t>
      </w:r>
    </w:p>
  </w:footnote>
  <w:footnote w:id="27">
    <w:p w:rsidR="000D6203" w:rsidRPr="00277CD4"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sidRPr="002128B7">
        <w:rPr>
          <w:rFonts w:cs="Times New Roman"/>
          <w:i/>
        </w:rPr>
        <w:t xml:space="preserve">See </w:t>
      </w:r>
      <w:r w:rsidRPr="002128B7">
        <w:rPr>
          <w:rFonts w:cs="Times New Roman"/>
          <w:smallCaps/>
        </w:rPr>
        <w:t>Karpat,</w:t>
      </w:r>
      <w:r w:rsidRPr="002128B7">
        <w:rPr>
          <w:rFonts w:cs="Times New Roman"/>
        </w:rPr>
        <w:t xml:space="preserve"> </w:t>
      </w:r>
      <w:r>
        <w:rPr>
          <w:rFonts w:cs="Times New Roman"/>
          <w:i/>
        </w:rPr>
        <w:t xml:space="preserve">supra </w:t>
      </w:r>
      <w:r>
        <w:rPr>
          <w:rFonts w:cs="Times New Roman"/>
        </w:rPr>
        <w:t>note 26, at 4</w:t>
      </w:r>
      <w:r w:rsidRPr="002128B7">
        <w:rPr>
          <w:rFonts w:cs="Times New Roman"/>
        </w:rPr>
        <w:t>.</w:t>
      </w:r>
      <w:r>
        <w:rPr>
          <w:rFonts w:cs="Times New Roman"/>
          <w:i/>
        </w:rPr>
        <w:t xml:space="preserve"> See also </w:t>
      </w:r>
      <w:r>
        <w:rPr>
          <w:rFonts w:cs="Times New Roman"/>
        </w:rPr>
        <w:t xml:space="preserve">Edward Mead Earle, </w:t>
      </w:r>
      <w:r>
        <w:rPr>
          <w:rFonts w:cs="Times New Roman"/>
          <w:i/>
        </w:rPr>
        <w:t>The New Constitution of Turkey</w:t>
      </w:r>
      <w:r>
        <w:rPr>
          <w:rFonts w:cs="Times New Roman"/>
        </w:rPr>
        <w:t xml:space="preserve">, 40 </w:t>
      </w:r>
      <w:r w:rsidRPr="00277CD4">
        <w:rPr>
          <w:rFonts w:cs="Times New Roman"/>
          <w:smallCaps/>
        </w:rPr>
        <w:t>Pol. Sci. Q</w:t>
      </w:r>
      <w:r>
        <w:rPr>
          <w:rFonts w:cs="Times New Roman"/>
        </w:rPr>
        <w:t>. 73, 76 (1925).</w:t>
      </w:r>
    </w:p>
  </w:footnote>
  <w:footnote w:id="28">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sidRPr="002128B7">
        <w:rPr>
          <w:rFonts w:cs="Times New Roman"/>
          <w:i/>
        </w:rPr>
        <w:t xml:space="preserve">See </w:t>
      </w:r>
      <w:r>
        <w:rPr>
          <w:rFonts w:cs="Times New Roman"/>
          <w:smallCaps/>
        </w:rPr>
        <w:t xml:space="preserve">Akşin, </w:t>
      </w:r>
      <w:r>
        <w:rPr>
          <w:rFonts w:cs="Times New Roman"/>
          <w:i/>
        </w:rPr>
        <w:t xml:space="preserve">supra </w:t>
      </w:r>
      <w:r>
        <w:rPr>
          <w:rFonts w:cs="Times New Roman"/>
        </w:rPr>
        <w:t xml:space="preserve">note 24, at </w:t>
      </w:r>
      <w:r w:rsidRPr="002128B7">
        <w:rPr>
          <w:rFonts w:cs="Times New Roman"/>
        </w:rPr>
        <w:t>29.</w:t>
      </w:r>
    </w:p>
  </w:footnote>
  <w:footnote w:id="29">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Pr>
          <w:rFonts w:cs="Times New Roman"/>
          <w:i/>
        </w:rPr>
        <w:t xml:space="preserve">See id. </w:t>
      </w:r>
      <w:r>
        <w:rPr>
          <w:rFonts w:cs="Times New Roman"/>
        </w:rPr>
        <w:t>at</w:t>
      </w:r>
      <w:r w:rsidRPr="002128B7">
        <w:rPr>
          <w:rFonts w:cs="Times New Roman"/>
        </w:rPr>
        <w:t xml:space="preserve"> 79; </w:t>
      </w:r>
      <w:r w:rsidRPr="002128B7">
        <w:rPr>
          <w:rFonts w:cs="Times New Roman"/>
          <w:smallCaps/>
        </w:rPr>
        <w:t>Karpat,</w:t>
      </w:r>
      <w:r w:rsidRPr="002128B7">
        <w:rPr>
          <w:rFonts w:cs="Times New Roman"/>
        </w:rPr>
        <w:t xml:space="preserve"> </w:t>
      </w:r>
      <w:r>
        <w:rPr>
          <w:rFonts w:cs="Times New Roman"/>
          <w:i/>
        </w:rPr>
        <w:t xml:space="preserve">supra </w:t>
      </w:r>
      <w:r>
        <w:rPr>
          <w:rFonts w:cs="Times New Roman"/>
        </w:rPr>
        <w:t>note 26, at</w:t>
      </w:r>
      <w:r w:rsidRPr="002128B7">
        <w:rPr>
          <w:rFonts w:cs="Times New Roman"/>
          <w:smallCaps/>
        </w:rPr>
        <w:t xml:space="preserve"> </w:t>
      </w:r>
      <w:r>
        <w:rPr>
          <w:rFonts w:cs="Times New Roman"/>
        </w:rPr>
        <w:t>41-44</w:t>
      </w:r>
      <w:r w:rsidRPr="002128B7">
        <w:rPr>
          <w:rFonts w:cs="Times New Roman"/>
        </w:rPr>
        <w:t>.</w:t>
      </w:r>
    </w:p>
  </w:footnote>
  <w:footnote w:id="30">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sidRPr="002128B7">
        <w:rPr>
          <w:rFonts w:cs="Times New Roman"/>
          <w:i/>
        </w:rPr>
        <w:t xml:space="preserve">See </w:t>
      </w:r>
      <w:r>
        <w:rPr>
          <w:rFonts w:cs="Times New Roman"/>
          <w:smallCaps/>
        </w:rPr>
        <w:t xml:space="preserve">Akşin, </w:t>
      </w:r>
      <w:r>
        <w:rPr>
          <w:rFonts w:cs="Times New Roman"/>
          <w:i/>
        </w:rPr>
        <w:t xml:space="preserve">supra </w:t>
      </w:r>
      <w:r>
        <w:rPr>
          <w:rFonts w:cs="Times New Roman"/>
        </w:rPr>
        <w:t xml:space="preserve">note 24, at </w:t>
      </w:r>
      <w:r w:rsidRPr="002128B7">
        <w:rPr>
          <w:rFonts w:cs="Times New Roman"/>
        </w:rPr>
        <w:t>20-94.</w:t>
      </w:r>
    </w:p>
  </w:footnote>
  <w:footnote w:id="31">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sidRPr="002128B7">
        <w:rPr>
          <w:rFonts w:cs="Times New Roman"/>
          <w:i/>
        </w:rPr>
        <w:t>See</w:t>
      </w:r>
      <w:r>
        <w:rPr>
          <w:rFonts w:cs="Times New Roman"/>
          <w:i/>
        </w:rPr>
        <w:t xml:space="preserve"> id. </w:t>
      </w:r>
      <w:r>
        <w:rPr>
          <w:rFonts w:cs="Times New Roman"/>
        </w:rPr>
        <w:t xml:space="preserve">at </w:t>
      </w:r>
      <w:r w:rsidRPr="002128B7">
        <w:rPr>
          <w:rFonts w:cs="Times New Roman"/>
        </w:rPr>
        <w:t>13-14, 20-23.</w:t>
      </w:r>
    </w:p>
  </w:footnote>
  <w:footnote w:id="32">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sidRPr="002128B7">
        <w:rPr>
          <w:rFonts w:cs="Times New Roman"/>
          <w:i/>
        </w:rPr>
        <w:t>See</w:t>
      </w:r>
      <w:r>
        <w:rPr>
          <w:rFonts w:cs="Times New Roman"/>
          <w:i/>
        </w:rPr>
        <w:t xml:space="preserve"> id. </w:t>
      </w:r>
      <w:r>
        <w:rPr>
          <w:rFonts w:cs="Times New Roman"/>
        </w:rPr>
        <w:t xml:space="preserve">at </w:t>
      </w:r>
      <w:r w:rsidRPr="002128B7">
        <w:rPr>
          <w:rFonts w:cs="Times New Roman"/>
        </w:rPr>
        <w:t>13-14</w:t>
      </w:r>
      <w:r>
        <w:rPr>
          <w:rFonts w:cs="Times New Roman"/>
        </w:rPr>
        <w:t>.</w:t>
      </w:r>
    </w:p>
  </w:footnote>
  <w:footnote w:id="33">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sidRPr="002128B7">
        <w:rPr>
          <w:rFonts w:cs="Times New Roman"/>
          <w:i/>
        </w:rPr>
        <w:t>See</w:t>
      </w:r>
      <w:r>
        <w:rPr>
          <w:rFonts w:cs="Times New Roman"/>
          <w:i/>
        </w:rPr>
        <w:t xml:space="preserve"> </w:t>
      </w:r>
      <w:r>
        <w:rPr>
          <w:rFonts w:cs="Times New Roman"/>
          <w:smallCaps/>
        </w:rPr>
        <w:t xml:space="preserve">Angrist, </w:t>
      </w:r>
      <w:r>
        <w:rPr>
          <w:rFonts w:cs="Times New Roman"/>
          <w:i/>
        </w:rPr>
        <w:t xml:space="preserve">supra </w:t>
      </w:r>
      <w:r>
        <w:rPr>
          <w:rFonts w:cs="Times New Roman"/>
        </w:rPr>
        <w:t xml:space="preserve">note 2, at </w:t>
      </w:r>
      <w:r w:rsidRPr="002128B7">
        <w:rPr>
          <w:rFonts w:cs="Times New Roman"/>
        </w:rPr>
        <w:t xml:space="preserve">83-88. "In large part due to the activism of provincial notable deputies, the chamber became a vehicle for criticizing the government's decisions and policies. Indeed, it was the deputies' willingness to challenge Ottoman ministers that prompted the sultan to prorogue the parliament indefinitely in 1878."  </w:t>
      </w:r>
      <w:r w:rsidRPr="002128B7">
        <w:rPr>
          <w:rFonts w:cs="Times New Roman"/>
          <w:i/>
        </w:rPr>
        <w:t xml:space="preserve">Id. </w:t>
      </w:r>
      <w:r w:rsidRPr="002128B7">
        <w:rPr>
          <w:rFonts w:cs="Times New Roman"/>
        </w:rPr>
        <w:t xml:space="preserve">at 87-88. </w:t>
      </w:r>
      <w:r w:rsidRPr="002128B7">
        <w:rPr>
          <w:rFonts w:cs="Times New Roman"/>
          <w:i/>
        </w:rPr>
        <w:t xml:space="preserve">See also </w:t>
      </w:r>
      <w:r w:rsidRPr="002128B7">
        <w:rPr>
          <w:rFonts w:cs="Times New Roman"/>
        </w:rPr>
        <w:t xml:space="preserve">Rustow, </w:t>
      </w:r>
      <w:r>
        <w:rPr>
          <w:rFonts w:cs="Times New Roman"/>
          <w:i/>
        </w:rPr>
        <w:t xml:space="preserve">supra </w:t>
      </w:r>
      <w:r>
        <w:rPr>
          <w:rFonts w:cs="Times New Roman"/>
        </w:rPr>
        <w:t>note 16, at 14</w:t>
      </w:r>
      <w:r w:rsidRPr="002128B7">
        <w:rPr>
          <w:rFonts w:cs="Times New Roman"/>
        </w:rPr>
        <w:t>.</w:t>
      </w:r>
    </w:p>
  </w:footnote>
  <w:footnote w:id="34">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sidRPr="002128B7">
        <w:rPr>
          <w:rFonts w:cs="Times New Roman"/>
          <w:i/>
        </w:rPr>
        <w:t>See</w:t>
      </w:r>
      <w:r w:rsidRPr="002128B7">
        <w:rPr>
          <w:rFonts w:cs="Times New Roman"/>
        </w:rPr>
        <w:t xml:space="preserve"> </w:t>
      </w:r>
      <w:r>
        <w:rPr>
          <w:rFonts w:cs="Times New Roman"/>
          <w:smallCaps/>
        </w:rPr>
        <w:t xml:space="preserve">Akşin, </w:t>
      </w:r>
      <w:r>
        <w:rPr>
          <w:rFonts w:cs="Times New Roman"/>
          <w:i/>
        </w:rPr>
        <w:t xml:space="preserve">supra </w:t>
      </w:r>
      <w:r>
        <w:rPr>
          <w:rFonts w:cs="Times New Roman"/>
        </w:rPr>
        <w:t xml:space="preserve">note 24, at </w:t>
      </w:r>
      <w:r w:rsidRPr="002128B7">
        <w:rPr>
          <w:rFonts w:cs="Times New Roman"/>
        </w:rPr>
        <w:t xml:space="preserve">39-40; Rustow, </w:t>
      </w:r>
      <w:r>
        <w:rPr>
          <w:rFonts w:cs="Times New Roman"/>
          <w:i/>
        </w:rPr>
        <w:t xml:space="preserve">supra </w:t>
      </w:r>
      <w:r>
        <w:rPr>
          <w:rFonts w:cs="Times New Roman"/>
        </w:rPr>
        <w:t>note 16, at</w:t>
      </w:r>
      <w:r w:rsidRPr="002128B7">
        <w:rPr>
          <w:rFonts w:cs="Times New Roman"/>
        </w:rPr>
        <w:t xml:space="preserve"> 10. </w:t>
      </w:r>
    </w:p>
  </w:footnote>
  <w:footnote w:id="35">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sidRPr="002128B7">
        <w:rPr>
          <w:rFonts w:cs="Times New Roman"/>
          <w:i/>
        </w:rPr>
        <w:t xml:space="preserve">See </w:t>
      </w:r>
      <w:r>
        <w:rPr>
          <w:rFonts w:cs="Times New Roman"/>
          <w:smallCaps/>
        </w:rPr>
        <w:t xml:space="preserve">Akşin, </w:t>
      </w:r>
      <w:r>
        <w:rPr>
          <w:rFonts w:cs="Times New Roman"/>
          <w:i/>
        </w:rPr>
        <w:t xml:space="preserve">supra </w:t>
      </w:r>
      <w:r>
        <w:rPr>
          <w:rFonts w:cs="Times New Roman"/>
        </w:rPr>
        <w:t xml:space="preserve">note 24, at </w:t>
      </w:r>
      <w:r w:rsidRPr="002128B7">
        <w:rPr>
          <w:rFonts w:cs="Times New Roman"/>
        </w:rPr>
        <w:t xml:space="preserve">40; </w:t>
      </w:r>
      <w:r>
        <w:rPr>
          <w:rFonts w:cs="Times New Roman"/>
          <w:smallCaps/>
        </w:rPr>
        <w:t xml:space="preserve">Angrist, </w:t>
      </w:r>
      <w:r>
        <w:rPr>
          <w:rFonts w:cs="Times New Roman"/>
          <w:i/>
        </w:rPr>
        <w:t xml:space="preserve">supra </w:t>
      </w:r>
      <w:r>
        <w:rPr>
          <w:rFonts w:cs="Times New Roman"/>
        </w:rPr>
        <w:t>note 2, at 87</w:t>
      </w:r>
      <w:r w:rsidRPr="002128B7">
        <w:rPr>
          <w:rFonts w:cs="Times New Roman"/>
        </w:rPr>
        <w:t>.</w:t>
      </w:r>
    </w:p>
  </w:footnote>
  <w:footnote w:id="36">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sidRPr="002128B7">
        <w:rPr>
          <w:rFonts w:cs="Times New Roman"/>
          <w:i/>
        </w:rPr>
        <w:t xml:space="preserve">See </w:t>
      </w:r>
      <w:r>
        <w:rPr>
          <w:rFonts w:cs="Times New Roman"/>
          <w:smallCaps/>
        </w:rPr>
        <w:t xml:space="preserve">Angrist, </w:t>
      </w:r>
      <w:r>
        <w:rPr>
          <w:rFonts w:cs="Times New Roman"/>
          <w:i/>
        </w:rPr>
        <w:t xml:space="preserve">supra </w:t>
      </w:r>
      <w:r>
        <w:rPr>
          <w:rFonts w:cs="Times New Roman"/>
        </w:rPr>
        <w:t>note 2, at 87-88</w:t>
      </w:r>
      <w:r w:rsidRPr="002128B7">
        <w:rPr>
          <w:rFonts w:cs="Times New Roman"/>
        </w:rPr>
        <w:t xml:space="preserve">; </w:t>
      </w:r>
      <w:r w:rsidRPr="002128B7">
        <w:rPr>
          <w:rFonts w:cs="Times New Roman"/>
          <w:smallCaps/>
        </w:rPr>
        <w:t>Karpat,</w:t>
      </w:r>
      <w:r w:rsidRPr="002128B7">
        <w:rPr>
          <w:rFonts w:cs="Times New Roman"/>
        </w:rPr>
        <w:t xml:space="preserve"> </w:t>
      </w:r>
      <w:r>
        <w:rPr>
          <w:rFonts w:cs="Times New Roman"/>
          <w:i/>
        </w:rPr>
        <w:t xml:space="preserve">supra </w:t>
      </w:r>
      <w:r>
        <w:rPr>
          <w:rFonts w:cs="Times New Roman"/>
        </w:rPr>
        <w:t>note 26, at</w:t>
      </w:r>
      <w:r w:rsidRPr="002128B7">
        <w:rPr>
          <w:rFonts w:cs="Times New Roman"/>
          <w:smallCaps/>
        </w:rPr>
        <w:t xml:space="preserve"> </w:t>
      </w:r>
      <w:r w:rsidRPr="002128B7">
        <w:rPr>
          <w:rFonts w:cs="Times New Roman"/>
        </w:rPr>
        <w:t>82.</w:t>
      </w:r>
    </w:p>
  </w:footnote>
  <w:footnote w:id="37">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sidRPr="002128B7">
        <w:rPr>
          <w:rFonts w:cs="Times New Roman"/>
          <w:i/>
        </w:rPr>
        <w:t xml:space="preserve">See </w:t>
      </w:r>
      <w:r>
        <w:rPr>
          <w:rFonts w:cs="Times New Roman"/>
          <w:smallCaps/>
        </w:rPr>
        <w:t xml:space="preserve">Angrist, </w:t>
      </w:r>
      <w:r>
        <w:rPr>
          <w:rFonts w:cs="Times New Roman"/>
          <w:i/>
        </w:rPr>
        <w:t xml:space="preserve">supra </w:t>
      </w:r>
      <w:r>
        <w:rPr>
          <w:rFonts w:cs="Times New Roman"/>
        </w:rPr>
        <w:t>note 2, at 86-87</w:t>
      </w:r>
      <w:r w:rsidRPr="002128B7">
        <w:rPr>
          <w:rFonts w:cs="Times New Roman"/>
        </w:rPr>
        <w:t>.</w:t>
      </w:r>
    </w:p>
    <w:p w:rsidR="000D6203" w:rsidRDefault="000D6203" w:rsidP="00B133E5">
      <w:pPr>
        <w:widowControl w:val="0"/>
        <w:spacing w:after="120" w:line="240" w:lineRule="auto"/>
        <w:ind w:left="720" w:right="720"/>
        <w:rPr>
          <w:rFonts w:cs="Times New Roman"/>
          <w:i/>
        </w:rPr>
      </w:pPr>
      <w:r w:rsidRPr="002128B7">
        <w:rPr>
          <w:rFonts w:cs="Times New Roman"/>
        </w:rPr>
        <w:t xml:space="preserve">They created a legislature that was weak relative to the Ottoman executive …. The sultan appointed the grand vizier and all other ministers, who were responsible to the sultan, not parliament; parliament did not have the power to bring down a cabinet. The parliament was also very circumscribed in its ability to initiate legislation. The sultan could open, close, and dissolve parliament as he saw fit. </w:t>
      </w:r>
      <w:r w:rsidRPr="002128B7">
        <w:rPr>
          <w:rFonts w:cs="Times New Roman"/>
          <w:i/>
        </w:rPr>
        <w:t>Id.</w:t>
      </w:r>
    </w:p>
    <w:p w:rsidR="000D6203" w:rsidRPr="001E1D79" w:rsidRDefault="000D6203" w:rsidP="00B133E5">
      <w:pPr>
        <w:widowControl w:val="0"/>
        <w:spacing w:after="120" w:line="240" w:lineRule="auto"/>
        <w:ind w:right="720"/>
        <w:rPr>
          <w:rFonts w:cs="Times New Roman"/>
        </w:rPr>
      </w:pPr>
      <w:r>
        <w:rPr>
          <w:rFonts w:cs="Times New Roman"/>
          <w:i/>
        </w:rPr>
        <w:t xml:space="preserve">See also </w:t>
      </w:r>
      <w:r>
        <w:rPr>
          <w:rFonts w:cs="Times New Roman"/>
          <w:smallCaps/>
        </w:rPr>
        <w:t>Ottoman Const.</w:t>
      </w:r>
      <w:r>
        <w:rPr>
          <w:rFonts w:cs="Times New Roman"/>
        </w:rPr>
        <w:t xml:space="preserve"> &amp; art. 7 (1876), </w:t>
      </w:r>
      <w:r>
        <w:rPr>
          <w:rFonts w:cs="Times New Roman"/>
          <w:i/>
        </w:rPr>
        <w:t xml:space="preserve">available at </w:t>
      </w:r>
      <w:r w:rsidRPr="00B01B12">
        <w:rPr>
          <w:rFonts w:cs="Times New Roman"/>
        </w:rPr>
        <w:t>http://www.anayasa.gen.tr/1876constitution.htm.</w:t>
      </w:r>
    </w:p>
  </w:footnote>
  <w:footnote w:id="38">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sidRPr="002128B7">
        <w:rPr>
          <w:rFonts w:cs="Times New Roman"/>
          <w:i/>
        </w:rPr>
        <w:t xml:space="preserve">See </w:t>
      </w:r>
      <w:r>
        <w:rPr>
          <w:rFonts w:cs="Times New Roman"/>
          <w:smallCaps/>
        </w:rPr>
        <w:t xml:space="preserve">Akşin, </w:t>
      </w:r>
      <w:r>
        <w:rPr>
          <w:rFonts w:cs="Times New Roman"/>
          <w:i/>
        </w:rPr>
        <w:t xml:space="preserve">supra </w:t>
      </w:r>
      <w:r>
        <w:rPr>
          <w:rFonts w:cs="Times New Roman"/>
        </w:rPr>
        <w:t xml:space="preserve">note 24, at </w:t>
      </w:r>
      <w:r w:rsidRPr="002128B7">
        <w:rPr>
          <w:rFonts w:cs="Times New Roman"/>
        </w:rPr>
        <w:t xml:space="preserve">42; </w:t>
      </w:r>
      <w:r>
        <w:rPr>
          <w:rFonts w:cs="Times New Roman"/>
          <w:smallCaps/>
        </w:rPr>
        <w:t xml:space="preserve">Angrist, </w:t>
      </w:r>
      <w:r>
        <w:rPr>
          <w:rFonts w:cs="Times New Roman"/>
          <w:i/>
        </w:rPr>
        <w:t xml:space="preserve">supra </w:t>
      </w:r>
      <w:r>
        <w:rPr>
          <w:rFonts w:cs="Times New Roman"/>
        </w:rPr>
        <w:t>note 2, at 88</w:t>
      </w:r>
      <w:r w:rsidRPr="002128B7">
        <w:rPr>
          <w:rFonts w:cs="Times New Roman"/>
        </w:rPr>
        <w:t>.</w:t>
      </w:r>
    </w:p>
  </w:footnote>
  <w:footnote w:id="39">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sidRPr="002128B7">
        <w:rPr>
          <w:rFonts w:cs="Times New Roman"/>
          <w:i/>
        </w:rPr>
        <w:t xml:space="preserve">See </w:t>
      </w:r>
      <w:r>
        <w:rPr>
          <w:rFonts w:cs="Times New Roman"/>
          <w:smallCaps/>
        </w:rPr>
        <w:t xml:space="preserve">Akşin, </w:t>
      </w:r>
      <w:r>
        <w:rPr>
          <w:rFonts w:cs="Times New Roman"/>
          <w:i/>
        </w:rPr>
        <w:t xml:space="preserve">supra </w:t>
      </w:r>
      <w:r>
        <w:rPr>
          <w:rFonts w:cs="Times New Roman"/>
        </w:rPr>
        <w:t xml:space="preserve">note 24, at </w:t>
      </w:r>
      <w:r w:rsidRPr="002128B7">
        <w:rPr>
          <w:rFonts w:cs="Times New Roman"/>
        </w:rPr>
        <w:t>42-45.</w:t>
      </w:r>
    </w:p>
  </w:footnote>
  <w:footnote w:id="40">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Pr>
          <w:rFonts w:cs="Times New Roman"/>
          <w:i/>
        </w:rPr>
        <w:t xml:space="preserve">See </w:t>
      </w:r>
      <w:r w:rsidRPr="002128B7">
        <w:rPr>
          <w:rFonts w:cs="Times New Roman"/>
        </w:rPr>
        <w:t xml:space="preserve">Rustow, </w:t>
      </w:r>
      <w:r>
        <w:rPr>
          <w:rFonts w:cs="Times New Roman"/>
          <w:i/>
        </w:rPr>
        <w:t xml:space="preserve">supra </w:t>
      </w:r>
      <w:r>
        <w:rPr>
          <w:rFonts w:cs="Times New Roman"/>
        </w:rPr>
        <w:t xml:space="preserve">note 16, at </w:t>
      </w:r>
      <w:r w:rsidRPr="002128B7">
        <w:rPr>
          <w:rFonts w:cs="Times New Roman"/>
        </w:rPr>
        <w:t>14.</w:t>
      </w:r>
    </w:p>
  </w:footnote>
  <w:footnote w:id="41">
    <w:p w:rsidR="000D6203" w:rsidRPr="002128B7" w:rsidRDefault="000D6203" w:rsidP="00B133E5">
      <w:pPr>
        <w:widowControl w:val="0"/>
        <w:spacing w:after="120" w:line="240" w:lineRule="auto"/>
        <w:rPr>
          <w:rFonts w:cs="Times New Roman"/>
          <w:b/>
          <w:i/>
        </w:rPr>
      </w:pPr>
      <w:r w:rsidRPr="002128B7">
        <w:rPr>
          <w:rStyle w:val="FootnoteReference"/>
          <w:rFonts w:cs="Times New Roman"/>
        </w:rPr>
        <w:footnoteRef/>
      </w:r>
      <w:r w:rsidRPr="002128B7">
        <w:rPr>
          <w:rFonts w:cs="Times New Roman"/>
        </w:rPr>
        <w:t xml:space="preserve"> </w:t>
      </w:r>
      <w:r w:rsidRPr="002128B7">
        <w:rPr>
          <w:rFonts w:cs="Times New Roman"/>
          <w:i/>
        </w:rPr>
        <w:t xml:space="preserve">See </w:t>
      </w:r>
      <w:r>
        <w:rPr>
          <w:rFonts w:cs="Times New Roman"/>
          <w:smallCaps/>
        </w:rPr>
        <w:t xml:space="preserve">Akşin, </w:t>
      </w:r>
      <w:r>
        <w:rPr>
          <w:rFonts w:cs="Times New Roman"/>
          <w:i/>
        </w:rPr>
        <w:t xml:space="preserve">supra </w:t>
      </w:r>
      <w:r>
        <w:rPr>
          <w:rFonts w:cs="Times New Roman"/>
        </w:rPr>
        <w:t xml:space="preserve">note 24, at </w:t>
      </w:r>
      <w:r w:rsidRPr="002128B7">
        <w:rPr>
          <w:rFonts w:cs="Times New Roman"/>
        </w:rPr>
        <w:t xml:space="preserve">45-47. Interestingly, the CUP gave its female and male members equal rights at a time when the Sultanate drastically repressed women and several decades still before women gained suffrage. </w:t>
      </w:r>
      <w:r>
        <w:rPr>
          <w:rFonts w:cs="Times New Roman"/>
          <w:i/>
        </w:rPr>
        <w:t>Id.</w:t>
      </w:r>
    </w:p>
  </w:footnote>
  <w:footnote w:id="42">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Pr>
          <w:rFonts w:cs="Times New Roman"/>
          <w:i/>
        </w:rPr>
        <w:t xml:space="preserve">See id. </w:t>
      </w:r>
      <w:r>
        <w:rPr>
          <w:rFonts w:cs="Times New Roman"/>
        </w:rPr>
        <w:t xml:space="preserve">at </w:t>
      </w:r>
      <w:r w:rsidRPr="002128B7">
        <w:rPr>
          <w:rFonts w:cs="Times New Roman"/>
        </w:rPr>
        <w:t>53.</w:t>
      </w:r>
    </w:p>
  </w:footnote>
  <w:footnote w:id="43">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sidRPr="002128B7">
        <w:rPr>
          <w:rFonts w:cs="Times New Roman"/>
          <w:i/>
        </w:rPr>
        <w:t xml:space="preserve">See </w:t>
      </w:r>
      <w:r>
        <w:rPr>
          <w:rFonts w:cs="Times New Roman"/>
          <w:smallCaps/>
        </w:rPr>
        <w:t xml:space="preserve">Angrist, </w:t>
      </w:r>
      <w:r>
        <w:rPr>
          <w:rFonts w:cs="Times New Roman"/>
          <w:i/>
        </w:rPr>
        <w:t xml:space="preserve">supra </w:t>
      </w:r>
      <w:r>
        <w:rPr>
          <w:rFonts w:cs="Times New Roman"/>
        </w:rPr>
        <w:t>note 2, at 89</w:t>
      </w:r>
      <w:r w:rsidRPr="002128B7">
        <w:rPr>
          <w:rFonts w:cs="Times New Roman"/>
        </w:rPr>
        <w:t>.</w:t>
      </w:r>
    </w:p>
  </w:footnote>
  <w:footnote w:id="44">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Pr>
          <w:rFonts w:cs="Times New Roman"/>
          <w:i/>
        </w:rPr>
        <w:t>See id.</w:t>
      </w:r>
      <w:r>
        <w:rPr>
          <w:rFonts w:cs="Times New Roman"/>
        </w:rPr>
        <w:t xml:space="preserve">; </w:t>
      </w:r>
      <w:r w:rsidRPr="002128B7">
        <w:rPr>
          <w:rFonts w:cs="Times New Roman"/>
        </w:rPr>
        <w:t xml:space="preserve">Rustow, </w:t>
      </w:r>
      <w:r>
        <w:rPr>
          <w:rFonts w:cs="Times New Roman"/>
          <w:i/>
        </w:rPr>
        <w:t xml:space="preserve">supra </w:t>
      </w:r>
      <w:r>
        <w:rPr>
          <w:rFonts w:cs="Times New Roman"/>
        </w:rPr>
        <w:t>note 16, at 14</w:t>
      </w:r>
      <w:r w:rsidRPr="002128B7">
        <w:rPr>
          <w:rFonts w:cs="Times New Roman"/>
        </w:rPr>
        <w:t>.</w:t>
      </w:r>
    </w:p>
  </w:footnote>
  <w:footnote w:id="45">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sidRPr="002128B7">
        <w:rPr>
          <w:rFonts w:cs="Times New Roman"/>
          <w:i/>
        </w:rPr>
        <w:t xml:space="preserve">See </w:t>
      </w:r>
      <w:r>
        <w:rPr>
          <w:rFonts w:cs="Times New Roman"/>
          <w:smallCaps/>
        </w:rPr>
        <w:t xml:space="preserve">Angrist, </w:t>
      </w:r>
      <w:r>
        <w:rPr>
          <w:rFonts w:cs="Times New Roman"/>
          <w:i/>
        </w:rPr>
        <w:t xml:space="preserve">supra </w:t>
      </w:r>
      <w:r>
        <w:rPr>
          <w:rFonts w:cs="Times New Roman"/>
        </w:rPr>
        <w:t>note 2, at 88-89, 91</w:t>
      </w:r>
      <w:r w:rsidRPr="002128B7">
        <w:rPr>
          <w:rFonts w:cs="Times New Roman"/>
        </w:rPr>
        <w:t>.</w:t>
      </w:r>
      <w:r>
        <w:rPr>
          <w:rFonts w:cs="Times New Roman"/>
        </w:rPr>
        <w:t xml:space="preserve"> </w:t>
      </w:r>
      <w:r>
        <w:rPr>
          <w:i/>
        </w:rPr>
        <w:t xml:space="preserve">See also </w:t>
      </w:r>
      <w:r>
        <w:rPr>
          <w:rFonts w:cs="Times New Roman"/>
          <w:smallCaps/>
        </w:rPr>
        <w:t>Ottoman Const.</w:t>
      </w:r>
      <w:r>
        <w:rPr>
          <w:rFonts w:cs="Times New Roman"/>
        </w:rPr>
        <w:t xml:space="preserve"> arts. 7 &amp; 54 (amended 1909), </w:t>
      </w:r>
      <w:r>
        <w:rPr>
          <w:rFonts w:cs="Times New Roman"/>
          <w:i/>
        </w:rPr>
        <w:t xml:space="preserve">available at </w:t>
      </w:r>
      <w:r w:rsidRPr="00F86770">
        <w:rPr>
          <w:rFonts w:cs="Times New Roman"/>
        </w:rPr>
        <w:t>http://www.anayasa.gen.tr/1909amendment.htm</w:t>
      </w:r>
      <w:r>
        <w:rPr>
          <w:rFonts w:cs="Times New Roman"/>
        </w:rPr>
        <w:t>.</w:t>
      </w:r>
    </w:p>
  </w:footnote>
  <w:footnote w:id="46">
    <w:p w:rsidR="000D6203" w:rsidRPr="00224CF0" w:rsidRDefault="000D6203" w:rsidP="00B133E5">
      <w:pPr>
        <w:widowControl w:val="0"/>
        <w:spacing w:after="120" w:line="240" w:lineRule="auto"/>
        <w:rPr>
          <w:rFonts w:cs="Times New Roman"/>
          <w:b/>
        </w:rPr>
      </w:pPr>
      <w:r w:rsidRPr="002128B7">
        <w:rPr>
          <w:rStyle w:val="FootnoteReference"/>
          <w:rFonts w:cs="Times New Roman"/>
        </w:rPr>
        <w:footnoteRef/>
      </w:r>
      <w:r w:rsidRPr="002128B7">
        <w:rPr>
          <w:rFonts w:cs="Times New Roman"/>
        </w:rPr>
        <w:t xml:space="preserve"> </w:t>
      </w:r>
      <w:r w:rsidRPr="002128B7">
        <w:rPr>
          <w:rFonts w:cs="Times New Roman"/>
          <w:i/>
        </w:rPr>
        <w:t xml:space="preserve">See </w:t>
      </w:r>
      <w:r>
        <w:rPr>
          <w:rFonts w:cs="Times New Roman"/>
          <w:smallCaps/>
        </w:rPr>
        <w:t xml:space="preserve">Angrist, </w:t>
      </w:r>
      <w:r>
        <w:rPr>
          <w:rFonts w:cs="Times New Roman"/>
          <w:i/>
        </w:rPr>
        <w:t xml:space="preserve">supra </w:t>
      </w:r>
      <w:r>
        <w:rPr>
          <w:rFonts w:cs="Times New Roman"/>
        </w:rPr>
        <w:t>note 2, at 90-91</w:t>
      </w:r>
      <w:r w:rsidRPr="002128B7">
        <w:rPr>
          <w:rFonts w:cs="Times New Roman"/>
        </w:rPr>
        <w:t xml:space="preserve">. </w:t>
      </w:r>
      <w:r>
        <w:rPr>
          <w:rFonts w:cs="Times New Roman"/>
          <w:i/>
        </w:rPr>
        <w:t>See also</w:t>
      </w:r>
      <w:r>
        <w:rPr>
          <w:rFonts w:cs="Times New Roman"/>
        </w:rPr>
        <w:t xml:space="preserve"> </w:t>
      </w:r>
      <w:r>
        <w:rPr>
          <w:rFonts w:cs="Times New Roman"/>
          <w:smallCaps/>
        </w:rPr>
        <w:t>Ottoman Const.</w:t>
      </w:r>
      <w:r>
        <w:rPr>
          <w:rFonts w:cs="Times New Roman"/>
        </w:rPr>
        <w:t xml:space="preserve"> arts. 27 &amp; 30 (amended 1909), </w:t>
      </w:r>
      <w:r>
        <w:rPr>
          <w:rFonts w:cs="Times New Roman"/>
          <w:i/>
        </w:rPr>
        <w:t xml:space="preserve">available at </w:t>
      </w:r>
      <w:r w:rsidRPr="00F86770">
        <w:rPr>
          <w:rFonts w:cs="Times New Roman"/>
        </w:rPr>
        <w:t>http://www.anayasa.gen.tr/1909amendment.htm</w:t>
      </w:r>
      <w:r>
        <w:rPr>
          <w:rFonts w:cs="Times New Roman"/>
        </w:rPr>
        <w:t>.</w:t>
      </w:r>
    </w:p>
  </w:footnote>
  <w:footnote w:id="47">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sidRPr="002128B7">
        <w:rPr>
          <w:rFonts w:cs="Times New Roman"/>
          <w:i/>
        </w:rPr>
        <w:t xml:space="preserve">See </w:t>
      </w:r>
      <w:r>
        <w:rPr>
          <w:rFonts w:cs="Times New Roman"/>
          <w:smallCaps/>
        </w:rPr>
        <w:t xml:space="preserve">Angrist, </w:t>
      </w:r>
      <w:r>
        <w:rPr>
          <w:rFonts w:cs="Times New Roman"/>
          <w:i/>
        </w:rPr>
        <w:t xml:space="preserve">supra </w:t>
      </w:r>
      <w:r>
        <w:rPr>
          <w:rFonts w:cs="Times New Roman"/>
        </w:rPr>
        <w:t>note 2, at 89, 91-92</w:t>
      </w:r>
      <w:r w:rsidRPr="002128B7">
        <w:rPr>
          <w:rFonts w:cs="Times New Roman"/>
        </w:rPr>
        <w:t>.</w:t>
      </w:r>
    </w:p>
  </w:footnote>
  <w:footnote w:id="48">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Pr>
          <w:rFonts w:cs="Times New Roman"/>
          <w:i/>
        </w:rPr>
        <w:t xml:space="preserve">See id. </w:t>
      </w:r>
      <w:r>
        <w:rPr>
          <w:rFonts w:cs="Times New Roman"/>
        </w:rPr>
        <w:t xml:space="preserve">at </w:t>
      </w:r>
      <w:r w:rsidRPr="002128B7">
        <w:rPr>
          <w:rFonts w:cs="Times New Roman"/>
        </w:rPr>
        <w:t>89-90.</w:t>
      </w:r>
    </w:p>
  </w:footnote>
  <w:footnote w:id="49">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Pr>
          <w:rFonts w:cs="Times New Roman"/>
          <w:i/>
        </w:rPr>
        <w:t>See id.</w:t>
      </w:r>
    </w:p>
  </w:footnote>
  <w:footnote w:id="50">
    <w:p w:rsidR="000D6203" w:rsidRPr="0055286B" w:rsidRDefault="000D6203" w:rsidP="00B133E5">
      <w:pPr>
        <w:pStyle w:val="FootnoteText"/>
        <w:widowControl w:val="0"/>
        <w:spacing w:after="120"/>
      </w:pPr>
      <w:r>
        <w:rPr>
          <w:rStyle w:val="FootnoteReference"/>
        </w:rPr>
        <w:footnoteRef/>
      </w:r>
      <w:r>
        <w:t xml:space="preserve"> </w:t>
      </w:r>
      <w:r>
        <w:rPr>
          <w:i/>
        </w:rPr>
        <w:t xml:space="preserve">See </w:t>
      </w:r>
      <w:r>
        <w:t xml:space="preserve">Yilmaz Esmer, </w:t>
      </w:r>
      <w:r>
        <w:rPr>
          <w:i/>
        </w:rPr>
        <w:t xml:space="preserve">Introduction </w:t>
      </w:r>
      <w:r>
        <w:t xml:space="preserve">to </w:t>
      </w:r>
      <w:r w:rsidRPr="001A7C70">
        <w:rPr>
          <w:smallCaps/>
        </w:rPr>
        <w:t>Politics, Parties &amp; Elections in Turkey</w:t>
      </w:r>
      <w:r>
        <w:t xml:space="preserve"> 1, 3-4 (Sabr</w:t>
      </w:r>
      <w:r>
        <w:rPr>
          <w:rFonts w:cs="Times New Roman"/>
        </w:rPr>
        <w:t>i</w:t>
      </w:r>
      <w:r>
        <w:t xml:space="preserve"> Sayarı &amp; Yilmaz Esmer, eds. 2002).</w:t>
      </w:r>
    </w:p>
  </w:footnote>
  <w:footnote w:id="51">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sidRPr="002128B7">
        <w:rPr>
          <w:rFonts w:cs="Times New Roman"/>
          <w:i/>
        </w:rPr>
        <w:t xml:space="preserve">See </w:t>
      </w:r>
      <w:r>
        <w:rPr>
          <w:rFonts w:cs="Times New Roman"/>
          <w:smallCaps/>
        </w:rPr>
        <w:t xml:space="preserve">Angrist, </w:t>
      </w:r>
      <w:r>
        <w:rPr>
          <w:rFonts w:cs="Times New Roman"/>
          <w:i/>
        </w:rPr>
        <w:t xml:space="preserve">supra </w:t>
      </w:r>
      <w:r>
        <w:rPr>
          <w:rFonts w:cs="Times New Roman"/>
        </w:rPr>
        <w:t>note 2, at 92</w:t>
      </w:r>
      <w:r w:rsidRPr="002128B7">
        <w:rPr>
          <w:rFonts w:cs="Times New Roman"/>
        </w:rPr>
        <w:t>.</w:t>
      </w:r>
    </w:p>
  </w:footnote>
  <w:footnote w:id="52">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Pr>
          <w:rFonts w:cs="Times New Roman"/>
          <w:i/>
        </w:rPr>
        <w:t xml:space="preserve">See id. </w:t>
      </w:r>
      <w:r>
        <w:rPr>
          <w:rFonts w:cs="Times New Roman"/>
        </w:rPr>
        <w:t>at 91-92</w:t>
      </w:r>
      <w:r w:rsidRPr="002128B7">
        <w:rPr>
          <w:rFonts w:cs="Times New Roman"/>
        </w:rPr>
        <w:t>.</w:t>
      </w:r>
    </w:p>
  </w:footnote>
  <w:footnote w:id="53">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sidRPr="002128B7">
        <w:rPr>
          <w:rFonts w:cs="Times New Roman"/>
          <w:i/>
        </w:rPr>
        <w:t xml:space="preserve">See </w:t>
      </w:r>
      <w:r>
        <w:rPr>
          <w:rFonts w:cs="Times New Roman"/>
          <w:smallCaps/>
        </w:rPr>
        <w:t xml:space="preserve">Akşin, </w:t>
      </w:r>
      <w:r>
        <w:rPr>
          <w:rFonts w:cs="Times New Roman"/>
          <w:i/>
        </w:rPr>
        <w:t xml:space="preserve">supra </w:t>
      </w:r>
      <w:r>
        <w:rPr>
          <w:rFonts w:cs="Times New Roman"/>
        </w:rPr>
        <w:t>note 24, at 69</w:t>
      </w:r>
      <w:r w:rsidRPr="002128B7">
        <w:rPr>
          <w:rFonts w:cs="Times New Roman"/>
        </w:rPr>
        <w:t>.</w:t>
      </w:r>
    </w:p>
  </w:footnote>
  <w:footnote w:id="54">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Pr>
          <w:rFonts w:cs="Times New Roman"/>
          <w:i/>
        </w:rPr>
        <w:t xml:space="preserve">See id. </w:t>
      </w:r>
      <w:r>
        <w:rPr>
          <w:rFonts w:cs="Times New Roman"/>
        </w:rPr>
        <w:t xml:space="preserve">at </w:t>
      </w:r>
      <w:r w:rsidRPr="002128B7">
        <w:rPr>
          <w:rFonts w:cs="Times New Roman"/>
        </w:rPr>
        <w:t xml:space="preserve">71-72; </w:t>
      </w:r>
      <w:r>
        <w:rPr>
          <w:rFonts w:cs="Times New Roman"/>
          <w:smallCaps/>
        </w:rPr>
        <w:t xml:space="preserve">Angrist, </w:t>
      </w:r>
      <w:r>
        <w:rPr>
          <w:rFonts w:cs="Times New Roman"/>
          <w:i/>
        </w:rPr>
        <w:t xml:space="preserve">supra </w:t>
      </w:r>
      <w:r>
        <w:rPr>
          <w:rFonts w:cs="Times New Roman"/>
        </w:rPr>
        <w:t xml:space="preserve">note 2, at </w:t>
      </w:r>
      <w:r w:rsidRPr="002128B7">
        <w:rPr>
          <w:rFonts w:cs="Times New Roman"/>
        </w:rPr>
        <w:t>92-93.</w:t>
      </w:r>
    </w:p>
  </w:footnote>
  <w:footnote w:id="55">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sidRPr="002128B7">
        <w:rPr>
          <w:rFonts w:cs="Times New Roman"/>
          <w:i/>
        </w:rPr>
        <w:t xml:space="preserve">See </w:t>
      </w:r>
      <w:r>
        <w:rPr>
          <w:rFonts w:cs="Times New Roman"/>
          <w:smallCaps/>
        </w:rPr>
        <w:t xml:space="preserve">Angrist, </w:t>
      </w:r>
      <w:r>
        <w:rPr>
          <w:rFonts w:cs="Times New Roman"/>
          <w:i/>
        </w:rPr>
        <w:t xml:space="preserve">supra </w:t>
      </w:r>
      <w:r>
        <w:rPr>
          <w:rFonts w:cs="Times New Roman"/>
        </w:rPr>
        <w:t>note 2, at 93</w:t>
      </w:r>
      <w:r w:rsidRPr="002128B7">
        <w:rPr>
          <w:rFonts w:cs="Times New Roman"/>
        </w:rPr>
        <w:t xml:space="preserve"> (citing </w:t>
      </w:r>
      <w:r w:rsidRPr="002128B7">
        <w:rPr>
          <w:rFonts w:cs="Times New Roman"/>
          <w:smallCaps/>
        </w:rPr>
        <w:t>Feroz Ahmad, The Young Turks: The Committee of Union and Progress in Turkish Politics, 1908-1914</w:t>
      </w:r>
      <w:r w:rsidRPr="002128B7">
        <w:rPr>
          <w:rFonts w:cs="Times New Roman"/>
        </w:rPr>
        <w:t xml:space="preserve"> 105(1969)).</w:t>
      </w:r>
    </w:p>
  </w:footnote>
  <w:footnote w:id="56">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sidRPr="002128B7">
        <w:rPr>
          <w:rFonts w:cs="Times New Roman"/>
          <w:i/>
        </w:rPr>
        <w:t>See</w:t>
      </w:r>
      <w:r w:rsidRPr="002128B7">
        <w:rPr>
          <w:rFonts w:cs="Times New Roman"/>
        </w:rPr>
        <w:t xml:space="preserve"> Rustow, </w:t>
      </w:r>
      <w:r>
        <w:rPr>
          <w:rFonts w:cs="Times New Roman"/>
          <w:i/>
        </w:rPr>
        <w:t xml:space="preserve">supra </w:t>
      </w:r>
      <w:r>
        <w:rPr>
          <w:rFonts w:cs="Times New Roman"/>
        </w:rPr>
        <w:t>note 16, at</w:t>
      </w:r>
      <w:r w:rsidRPr="002128B7">
        <w:rPr>
          <w:rFonts w:cs="Times New Roman"/>
        </w:rPr>
        <w:t xml:space="preserve"> 10-11.</w:t>
      </w:r>
    </w:p>
  </w:footnote>
  <w:footnote w:id="57">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sidRPr="002128B7">
        <w:rPr>
          <w:rFonts w:cs="Times New Roman"/>
          <w:i/>
        </w:rPr>
        <w:t xml:space="preserve">See </w:t>
      </w:r>
      <w:r>
        <w:rPr>
          <w:rFonts w:cs="Times New Roman"/>
          <w:smallCaps/>
        </w:rPr>
        <w:t xml:space="preserve">Akşin, </w:t>
      </w:r>
      <w:r>
        <w:rPr>
          <w:rFonts w:cs="Times New Roman"/>
          <w:i/>
        </w:rPr>
        <w:t xml:space="preserve">supra </w:t>
      </w:r>
      <w:r>
        <w:rPr>
          <w:rFonts w:cs="Times New Roman"/>
        </w:rPr>
        <w:t xml:space="preserve">note 24, at </w:t>
      </w:r>
      <w:r w:rsidRPr="002128B7">
        <w:rPr>
          <w:rFonts w:cs="Times New Roman"/>
        </w:rPr>
        <w:t>20-94.</w:t>
      </w:r>
    </w:p>
  </w:footnote>
  <w:footnote w:id="58">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Pr>
          <w:rFonts w:cs="Times New Roman"/>
          <w:i/>
        </w:rPr>
        <w:t xml:space="preserve">See id. </w:t>
      </w:r>
      <w:r>
        <w:rPr>
          <w:rFonts w:cs="Times New Roman"/>
        </w:rPr>
        <w:t xml:space="preserve">at </w:t>
      </w:r>
      <w:r w:rsidRPr="002128B7">
        <w:rPr>
          <w:rFonts w:cs="Times New Roman"/>
        </w:rPr>
        <w:t>91.</w:t>
      </w:r>
    </w:p>
  </w:footnote>
  <w:footnote w:id="59">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Pr>
          <w:rFonts w:cs="Times New Roman"/>
          <w:i/>
        </w:rPr>
        <w:t>See id.</w:t>
      </w:r>
      <w:r>
        <w:rPr>
          <w:rFonts w:cs="Times New Roman"/>
        </w:rPr>
        <w:t xml:space="preserve"> at </w:t>
      </w:r>
      <w:r w:rsidRPr="002128B7">
        <w:rPr>
          <w:rFonts w:cs="Times New Roman"/>
        </w:rPr>
        <w:t>94-97.</w:t>
      </w:r>
    </w:p>
  </w:footnote>
  <w:footnote w:id="60">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sidRPr="002128B7">
        <w:rPr>
          <w:rFonts w:cs="Times New Roman"/>
          <w:i/>
        </w:rPr>
        <w:t>See</w:t>
      </w:r>
      <w:r>
        <w:rPr>
          <w:rFonts w:cs="Times New Roman"/>
          <w:i/>
        </w:rPr>
        <w:t xml:space="preserve"> id. </w:t>
      </w:r>
      <w:r>
        <w:rPr>
          <w:rFonts w:cs="Times New Roman"/>
        </w:rPr>
        <w:t>at</w:t>
      </w:r>
      <w:r w:rsidRPr="002128B7">
        <w:rPr>
          <w:rFonts w:cs="Times New Roman"/>
        </w:rPr>
        <w:t xml:space="preserve"> 95; </w:t>
      </w:r>
      <w:r>
        <w:rPr>
          <w:rFonts w:cs="Times New Roman"/>
          <w:smallCaps/>
        </w:rPr>
        <w:t xml:space="preserve">Angrist, </w:t>
      </w:r>
      <w:r>
        <w:rPr>
          <w:rFonts w:cs="Times New Roman"/>
          <w:i/>
        </w:rPr>
        <w:t xml:space="preserve">supra </w:t>
      </w:r>
      <w:r>
        <w:rPr>
          <w:rFonts w:cs="Times New Roman"/>
        </w:rPr>
        <w:t xml:space="preserve">note 2, at </w:t>
      </w:r>
      <w:r w:rsidRPr="002128B7">
        <w:rPr>
          <w:rFonts w:cs="Times New Roman"/>
        </w:rPr>
        <w:t xml:space="preserve">93; </w:t>
      </w:r>
      <w:r w:rsidRPr="002128B7">
        <w:rPr>
          <w:rFonts w:cs="Times New Roman"/>
          <w:smallCaps/>
        </w:rPr>
        <w:t>Karpat,</w:t>
      </w:r>
      <w:r w:rsidRPr="002128B7">
        <w:rPr>
          <w:rFonts w:cs="Times New Roman"/>
        </w:rPr>
        <w:t xml:space="preserve"> </w:t>
      </w:r>
      <w:r>
        <w:rPr>
          <w:rFonts w:cs="Times New Roman"/>
          <w:i/>
        </w:rPr>
        <w:t xml:space="preserve">supra </w:t>
      </w:r>
      <w:r>
        <w:rPr>
          <w:rFonts w:cs="Times New Roman"/>
        </w:rPr>
        <w:t>note 26, at</w:t>
      </w:r>
      <w:r w:rsidRPr="002128B7">
        <w:rPr>
          <w:rFonts w:cs="Times New Roman"/>
          <w:smallCaps/>
        </w:rPr>
        <w:t xml:space="preserve"> </w:t>
      </w:r>
      <w:r w:rsidRPr="002128B7">
        <w:rPr>
          <w:rFonts w:cs="Times New Roman"/>
        </w:rPr>
        <w:t>32 &amp; n.2 (referencing "the secret Allied agreement for the dismemberment of the Ottoman Empire").</w:t>
      </w:r>
    </w:p>
  </w:footnote>
  <w:footnote w:id="61">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sidRPr="002128B7">
        <w:rPr>
          <w:rFonts w:cs="Times New Roman"/>
          <w:i/>
        </w:rPr>
        <w:t>See</w:t>
      </w:r>
      <w:r w:rsidRPr="002128B7">
        <w:rPr>
          <w:rFonts w:cs="Times New Roman"/>
        </w:rPr>
        <w:t xml:space="preserve"> Rustow, </w:t>
      </w:r>
      <w:r>
        <w:rPr>
          <w:rFonts w:cs="Times New Roman"/>
          <w:i/>
        </w:rPr>
        <w:t xml:space="preserve">supra </w:t>
      </w:r>
      <w:r>
        <w:rPr>
          <w:rFonts w:cs="Times New Roman"/>
        </w:rPr>
        <w:t>note 16, at</w:t>
      </w:r>
      <w:r w:rsidRPr="002128B7">
        <w:rPr>
          <w:rFonts w:cs="Times New Roman"/>
        </w:rPr>
        <w:t xml:space="preserve"> 11-13.</w:t>
      </w:r>
    </w:p>
  </w:footnote>
  <w:footnote w:id="62">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Pr>
          <w:rFonts w:cs="Times New Roman"/>
          <w:i/>
        </w:rPr>
        <w:t xml:space="preserve">See </w:t>
      </w:r>
      <w:r>
        <w:rPr>
          <w:rFonts w:cs="Times New Roman"/>
          <w:smallCaps/>
        </w:rPr>
        <w:t xml:space="preserve">Angrist, </w:t>
      </w:r>
      <w:r>
        <w:rPr>
          <w:rFonts w:cs="Times New Roman"/>
          <w:i/>
        </w:rPr>
        <w:t xml:space="preserve">supra </w:t>
      </w:r>
      <w:r>
        <w:rPr>
          <w:rFonts w:cs="Times New Roman"/>
        </w:rPr>
        <w:t>note 2, at 93</w:t>
      </w:r>
      <w:r>
        <w:rPr>
          <w:rFonts w:cs="Times New Roman"/>
          <w:i/>
        </w:rPr>
        <w:t>.</w:t>
      </w:r>
    </w:p>
  </w:footnote>
  <w:footnote w:id="63">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Pr>
          <w:rFonts w:cs="Times New Roman"/>
          <w:i/>
        </w:rPr>
        <w:t xml:space="preserve">See id. </w:t>
      </w:r>
      <w:r>
        <w:rPr>
          <w:rFonts w:cs="Times New Roman"/>
        </w:rPr>
        <w:t xml:space="preserve">at </w:t>
      </w:r>
      <w:r w:rsidRPr="002128B7">
        <w:rPr>
          <w:rFonts w:cs="Times New Roman"/>
        </w:rPr>
        <w:t xml:space="preserve">93-95; Rustow, </w:t>
      </w:r>
      <w:r>
        <w:rPr>
          <w:rFonts w:cs="Times New Roman"/>
          <w:i/>
        </w:rPr>
        <w:t xml:space="preserve">supra </w:t>
      </w:r>
      <w:r>
        <w:rPr>
          <w:rFonts w:cs="Times New Roman"/>
        </w:rPr>
        <w:t xml:space="preserve">note 16, at </w:t>
      </w:r>
      <w:r w:rsidRPr="002128B7">
        <w:rPr>
          <w:rFonts w:cs="Times New Roman"/>
        </w:rPr>
        <w:t>12.</w:t>
      </w:r>
    </w:p>
  </w:footnote>
  <w:footnote w:id="64">
    <w:p w:rsidR="000D6203" w:rsidRPr="00E33ADA"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sidRPr="002128B7">
        <w:rPr>
          <w:rFonts w:cs="Times New Roman"/>
          <w:i/>
        </w:rPr>
        <w:t>See</w:t>
      </w:r>
      <w:r w:rsidRPr="002128B7">
        <w:rPr>
          <w:rFonts w:cs="Times New Roman"/>
        </w:rPr>
        <w:t xml:space="preserve"> Rustow, </w:t>
      </w:r>
      <w:r>
        <w:rPr>
          <w:rFonts w:cs="Times New Roman"/>
          <w:i/>
        </w:rPr>
        <w:t xml:space="preserve">supra </w:t>
      </w:r>
      <w:r>
        <w:rPr>
          <w:rFonts w:cs="Times New Roman"/>
        </w:rPr>
        <w:t>note 16, at</w:t>
      </w:r>
      <w:r w:rsidRPr="002128B7">
        <w:rPr>
          <w:rFonts w:cs="Times New Roman"/>
        </w:rPr>
        <w:t xml:space="preserve"> 11-13.</w:t>
      </w:r>
      <w:r>
        <w:rPr>
          <w:rFonts w:cs="Times New Roman"/>
        </w:rPr>
        <w:t xml:space="preserve"> </w:t>
      </w:r>
      <w:r>
        <w:rPr>
          <w:rFonts w:cs="Times New Roman"/>
          <w:i/>
        </w:rPr>
        <w:t xml:space="preserve">See also </w:t>
      </w:r>
      <w:r>
        <w:rPr>
          <w:rFonts w:cs="Times New Roman"/>
          <w:smallCaps/>
        </w:rPr>
        <w:t xml:space="preserve">Akşin, </w:t>
      </w:r>
      <w:r>
        <w:rPr>
          <w:rFonts w:cs="Times New Roman"/>
          <w:i/>
        </w:rPr>
        <w:t xml:space="preserve">supra </w:t>
      </w:r>
      <w:r>
        <w:rPr>
          <w:rFonts w:cs="Times New Roman"/>
        </w:rPr>
        <w:t>note 24, at 179</w:t>
      </w:r>
      <w:r w:rsidRPr="002128B7">
        <w:rPr>
          <w:rFonts w:cs="Times New Roman"/>
        </w:rPr>
        <w:t>.</w:t>
      </w:r>
    </w:p>
  </w:footnote>
  <w:footnote w:id="65">
    <w:p w:rsidR="000D6203" w:rsidRPr="00672B62" w:rsidRDefault="000D6203" w:rsidP="00B133E5">
      <w:pPr>
        <w:pStyle w:val="FootnoteText"/>
        <w:widowControl w:val="0"/>
        <w:spacing w:after="120"/>
      </w:pPr>
      <w:r>
        <w:rPr>
          <w:rStyle w:val="FootnoteReference"/>
        </w:rPr>
        <w:footnoteRef/>
      </w:r>
      <w:r>
        <w:t xml:space="preserve"> </w:t>
      </w:r>
      <w:r>
        <w:rPr>
          <w:i/>
        </w:rPr>
        <w:t xml:space="preserve">See id. </w:t>
      </w:r>
      <w:r>
        <w:t>at 12-16.</w:t>
      </w:r>
    </w:p>
  </w:footnote>
  <w:footnote w:id="66">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sidRPr="002128B7">
        <w:rPr>
          <w:rFonts w:cs="Times New Roman"/>
          <w:i/>
        </w:rPr>
        <w:t xml:space="preserve">See </w:t>
      </w:r>
      <w:r>
        <w:rPr>
          <w:rFonts w:cs="Times New Roman"/>
          <w:smallCaps/>
        </w:rPr>
        <w:t xml:space="preserve">Akşin, </w:t>
      </w:r>
      <w:r>
        <w:rPr>
          <w:rFonts w:cs="Times New Roman"/>
          <w:i/>
        </w:rPr>
        <w:t xml:space="preserve">supra </w:t>
      </w:r>
      <w:r>
        <w:rPr>
          <w:rFonts w:cs="Times New Roman"/>
        </w:rPr>
        <w:t>note 24, at 53</w:t>
      </w:r>
      <w:r w:rsidRPr="002128B7">
        <w:rPr>
          <w:rFonts w:cs="Times New Roman"/>
        </w:rPr>
        <w:t>.</w:t>
      </w:r>
    </w:p>
  </w:footnote>
  <w:footnote w:id="67">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Pr>
          <w:rFonts w:cs="Times New Roman"/>
        </w:rPr>
        <w:t>Mustafa Kemal's ideals are</w:t>
      </w:r>
      <w:r w:rsidRPr="000D370C">
        <w:rPr>
          <w:rFonts w:cs="Times New Roman"/>
        </w:rPr>
        <w:t xml:space="preserve"> enshrined in the Preamble to the Turkish constitution</w:t>
      </w:r>
      <w:r>
        <w:rPr>
          <w:rFonts w:cs="Times New Roman"/>
        </w:rPr>
        <w:t>.</w:t>
      </w:r>
      <w:r w:rsidRPr="000D370C">
        <w:rPr>
          <w:rFonts w:cs="Times New Roman"/>
        </w:rPr>
        <w:t xml:space="preserve"> </w:t>
      </w:r>
      <w:r w:rsidRPr="002128B7">
        <w:rPr>
          <w:rFonts w:cs="Times New Roman"/>
        </w:rPr>
        <w:t xml:space="preserve">The constitution begins, "In line with the concept of nationalism and the reforms and principles introduced by the founder of the Republic of Turkey, Atatürk, the immortal leader and the unrivalled hero, this Constitution, which affirms the eternal existence of the Turkish nation and motherland and the indivisible unity of the Turkish state, embodies… ." </w:t>
      </w:r>
      <w:r w:rsidRPr="009F5FB6">
        <w:rPr>
          <w:rFonts w:cs="Times New Roman"/>
          <w:smallCaps/>
        </w:rPr>
        <w:t>Turk. Const.</w:t>
      </w:r>
      <w:r w:rsidRPr="002128B7">
        <w:rPr>
          <w:rFonts w:cs="Times New Roman"/>
        </w:rPr>
        <w:t xml:space="preserve"> preamble</w:t>
      </w:r>
      <w:r>
        <w:rPr>
          <w:rFonts w:cs="Times New Roman"/>
        </w:rPr>
        <w:t xml:space="preserve"> (amended 2001). T</w:t>
      </w:r>
      <w:r w:rsidRPr="000D370C">
        <w:rPr>
          <w:rFonts w:cs="Times New Roman"/>
        </w:rPr>
        <w:t>he oath taken by Members of the Turkish Grand National Assembly includes an obligation "to remain loyal … to Atatürk's principles and reforms."</w:t>
      </w:r>
      <w:r>
        <w:rPr>
          <w:rFonts w:cs="Times New Roman"/>
        </w:rPr>
        <w:t xml:space="preserve"> </w:t>
      </w:r>
      <w:r>
        <w:rPr>
          <w:rFonts w:cs="Times New Roman"/>
          <w:i/>
        </w:rPr>
        <w:t xml:space="preserve">Id. </w:t>
      </w:r>
      <w:r>
        <w:rPr>
          <w:rFonts w:cs="Times New Roman"/>
        </w:rPr>
        <w:t>a</w:t>
      </w:r>
      <w:r w:rsidRPr="002128B7">
        <w:rPr>
          <w:rFonts w:cs="Times New Roman"/>
        </w:rPr>
        <w:t>rt. 81.</w:t>
      </w:r>
    </w:p>
  </w:footnote>
  <w:footnote w:id="68">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Pr>
          <w:rFonts w:cs="Times New Roman"/>
          <w:i/>
        </w:rPr>
        <w:t xml:space="preserve">See </w:t>
      </w:r>
      <w:r w:rsidRPr="002128B7">
        <w:rPr>
          <w:rFonts w:cs="Times New Roman"/>
        </w:rPr>
        <w:t xml:space="preserve">Rustow, </w:t>
      </w:r>
      <w:r>
        <w:rPr>
          <w:rFonts w:cs="Times New Roman"/>
          <w:i/>
        </w:rPr>
        <w:t xml:space="preserve">supra </w:t>
      </w:r>
      <w:r>
        <w:rPr>
          <w:rFonts w:cs="Times New Roman"/>
        </w:rPr>
        <w:t>note 16, at</w:t>
      </w:r>
      <w:r w:rsidRPr="002128B7">
        <w:rPr>
          <w:rFonts w:cs="Times New Roman"/>
        </w:rPr>
        <w:t xml:space="preserve"> 12-13</w:t>
      </w:r>
      <w:r>
        <w:rPr>
          <w:rFonts w:cs="Times New Roman"/>
        </w:rPr>
        <w:t xml:space="preserve">. </w:t>
      </w:r>
      <w:r w:rsidRPr="00624FDC">
        <w:rPr>
          <w:rFonts w:cs="Times New Roman"/>
        </w:rPr>
        <w:t>These six tenets were eventually constitutionalized in 1937.</w:t>
      </w:r>
      <w:r>
        <w:rPr>
          <w:rFonts w:cs="Times New Roman"/>
        </w:rPr>
        <w:t xml:space="preserve"> </w:t>
      </w:r>
      <w:r>
        <w:rPr>
          <w:rFonts w:cs="Times New Roman"/>
          <w:i/>
        </w:rPr>
        <w:t xml:space="preserve">See </w:t>
      </w:r>
      <w:r w:rsidRPr="002128B7">
        <w:rPr>
          <w:rFonts w:cs="Times New Roman"/>
        </w:rPr>
        <w:t xml:space="preserve">C.H. Dodd, </w:t>
      </w:r>
      <w:r w:rsidRPr="002128B7">
        <w:rPr>
          <w:rFonts w:cs="Times New Roman"/>
          <w:i/>
        </w:rPr>
        <w:t>Atatürk and Political Parties</w:t>
      </w:r>
      <w:r w:rsidRPr="002128B7">
        <w:rPr>
          <w:rFonts w:cs="Times New Roman"/>
        </w:rPr>
        <w:t xml:space="preserve">, </w:t>
      </w:r>
      <w:r w:rsidRPr="002128B7">
        <w:rPr>
          <w:rFonts w:cs="Times New Roman"/>
          <w:i/>
        </w:rPr>
        <w:t>in</w:t>
      </w:r>
      <w:r w:rsidRPr="002128B7">
        <w:rPr>
          <w:rFonts w:cs="Times New Roman"/>
        </w:rPr>
        <w:t xml:space="preserve"> </w:t>
      </w:r>
      <w:r w:rsidRPr="002128B7">
        <w:rPr>
          <w:rFonts w:cs="Times New Roman"/>
          <w:smallCaps/>
        </w:rPr>
        <w:t>Political Parties and Democracy in Turkey</w:t>
      </w:r>
      <w:r>
        <w:rPr>
          <w:rFonts w:cs="Times New Roman"/>
          <w:smallCaps/>
        </w:rPr>
        <w:t xml:space="preserve">, </w:t>
      </w:r>
      <w:r>
        <w:rPr>
          <w:rFonts w:cs="Times New Roman"/>
          <w:i/>
        </w:rPr>
        <w:t xml:space="preserve">supra </w:t>
      </w:r>
      <w:r>
        <w:rPr>
          <w:rFonts w:cs="Times New Roman"/>
        </w:rPr>
        <w:t>note 13, at 24, 31</w:t>
      </w:r>
      <w:r w:rsidRPr="002128B7">
        <w:rPr>
          <w:rFonts w:cs="Times New Roman"/>
        </w:rPr>
        <w:t xml:space="preserve"> (citing </w:t>
      </w:r>
      <w:r w:rsidRPr="002128B7">
        <w:rPr>
          <w:rFonts w:cs="Times New Roman"/>
          <w:smallCaps/>
        </w:rPr>
        <w:t>Suna Kili, Kemalizm</w:t>
      </w:r>
      <w:r w:rsidRPr="002128B7">
        <w:rPr>
          <w:rFonts w:cs="Times New Roman"/>
        </w:rPr>
        <w:t xml:space="preserve"> ch. IV (1969)).</w:t>
      </w:r>
      <w:r>
        <w:rPr>
          <w:rFonts w:cs="Times New Roman"/>
        </w:rPr>
        <w:t xml:space="preserve"> </w:t>
      </w:r>
    </w:p>
  </w:footnote>
  <w:footnote w:id="69">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Pr>
          <w:rFonts w:cs="Times New Roman"/>
          <w:i/>
        </w:rPr>
        <w:t xml:space="preserve">See </w:t>
      </w:r>
      <w:r w:rsidRPr="002128B7">
        <w:rPr>
          <w:rFonts w:cs="Times New Roman"/>
        </w:rPr>
        <w:t xml:space="preserve">Rustow, </w:t>
      </w:r>
      <w:r>
        <w:rPr>
          <w:rFonts w:cs="Times New Roman"/>
          <w:i/>
        </w:rPr>
        <w:t xml:space="preserve">supra </w:t>
      </w:r>
      <w:r>
        <w:rPr>
          <w:rFonts w:cs="Times New Roman"/>
        </w:rPr>
        <w:t>note 16, at 12-13.</w:t>
      </w:r>
    </w:p>
  </w:footnote>
  <w:footnote w:id="70">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Pr>
          <w:rFonts w:cs="Times New Roman"/>
          <w:i/>
        </w:rPr>
        <w:t>See id.</w:t>
      </w:r>
    </w:p>
  </w:footnote>
  <w:footnote w:id="71">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sidRPr="002128B7">
        <w:rPr>
          <w:rFonts w:cs="Times New Roman"/>
          <w:i/>
        </w:rPr>
        <w:t xml:space="preserve">See </w:t>
      </w:r>
      <w:r>
        <w:rPr>
          <w:rFonts w:cs="Times New Roman"/>
          <w:smallCaps/>
        </w:rPr>
        <w:t xml:space="preserve">Akşin, </w:t>
      </w:r>
      <w:r>
        <w:rPr>
          <w:rFonts w:cs="Times New Roman"/>
          <w:i/>
        </w:rPr>
        <w:t xml:space="preserve">supra </w:t>
      </w:r>
      <w:r>
        <w:rPr>
          <w:rFonts w:cs="Times New Roman"/>
        </w:rPr>
        <w:t xml:space="preserve">note 24, at </w:t>
      </w:r>
      <w:r w:rsidRPr="002128B7">
        <w:rPr>
          <w:rFonts w:cs="Times New Roman"/>
        </w:rPr>
        <w:t>191-92</w:t>
      </w:r>
      <w:r>
        <w:rPr>
          <w:rFonts w:cs="Times New Roman"/>
        </w:rPr>
        <w:t xml:space="preserve">; </w:t>
      </w:r>
      <w:r w:rsidRPr="002128B7">
        <w:rPr>
          <w:rFonts w:cs="Times New Roman"/>
        </w:rPr>
        <w:t xml:space="preserve">Rustow, </w:t>
      </w:r>
      <w:r>
        <w:rPr>
          <w:rFonts w:cs="Times New Roman"/>
          <w:i/>
        </w:rPr>
        <w:t xml:space="preserve">supra </w:t>
      </w:r>
      <w:r>
        <w:rPr>
          <w:rFonts w:cs="Times New Roman"/>
        </w:rPr>
        <w:t>note 16, at 13</w:t>
      </w:r>
      <w:r w:rsidRPr="002128B7">
        <w:rPr>
          <w:rFonts w:cs="Times New Roman"/>
        </w:rPr>
        <w:t>.</w:t>
      </w:r>
    </w:p>
  </w:footnote>
  <w:footnote w:id="72">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Pr>
          <w:rFonts w:cs="Times New Roman"/>
          <w:i/>
        </w:rPr>
        <w:t xml:space="preserve">See </w:t>
      </w:r>
      <w:r>
        <w:rPr>
          <w:rFonts w:cs="Times New Roman"/>
          <w:smallCaps/>
        </w:rPr>
        <w:t xml:space="preserve">Akşin, </w:t>
      </w:r>
      <w:r>
        <w:rPr>
          <w:rFonts w:cs="Times New Roman"/>
          <w:i/>
        </w:rPr>
        <w:t xml:space="preserve">supra </w:t>
      </w:r>
      <w:r>
        <w:rPr>
          <w:rFonts w:cs="Times New Roman"/>
        </w:rPr>
        <w:t xml:space="preserve">note 24, at </w:t>
      </w:r>
      <w:r w:rsidRPr="002128B7">
        <w:rPr>
          <w:rFonts w:cs="Times New Roman"/>
        </w:rPr>
        <w:t>193</w:t>
      </w:r>
      <w:r>
        <w:rPr>
          <w:rFonts w:cs="Times New Roman"/>
        </w:rPr>
        <w:t>-94</w:t>
      </w:r>
      <w:r w:rsidRPr="002128B7">
        <w:rPr>
          <w:rFonts w:cs="Times New Roman"/>
        </w:rPr>
        <w:t>.</w:t>
      </w:r>
    </w:p>
  </w:footnote>
  <w:footnote w:id="73">
    <w:p w:rsidR="000D6203" w:rsidRPr="00145BD0" w:rsidRDefault="000D6203" w:rsidP="00B133E5">
      <w:pPr>
        <w:pStyle w:val="FootnoteText"/>
        <w:widowControl w:val="0"/>
        <w:spacing w:after="120"/>
      </w:pPr>
      <w:r>
        <w:rPr>
          <w:rStyle w:val="FootnoteReference"/>
        </w:rPr>
        <w:footnoteRef/>
      </w:r>
      <w:r>
        <w:t xml:space="preserve"> </w:t>
      </w:r>
      <w:r>
        <w:rPr>
          <w:i/>
        </w:rPr>
        <w:t xml:space="preserve">See </w:t>
      </w:r>
      <w:r>
        <w:t xml:space="preserve">Karpat, </w:t>
      </w:r>
      <w:r>
        <w:rPr>
          <w:i/>
        </w:rPr>
        <w:t xml:space="preserve">supra </w:t>
      </w:r>
      <w:r>
        <w:t>note 26, at 53.</w:t>
      </w:r>
    </w:p>
  </w:footnote>
  <w:footnote w:id="74">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Pr>
          <w:rFonts w:cs="Times New Roman"/>
          <w:i/>
        </w:rPr>
        <w:t xml:space="preserve">See </w:t>
      </w:r>
      <w:r w:rsidRPr="002128B7">
        <w:rPr>
          <w:rFonts w:cs="Times New Roman"/>
        </w:rPr>
        <w:t xml:space="preserve">Rustow, </w:t>
      </w:r>
      <w:r>
        <w:rPr>
          <w:rFonts w:cs="Times New Roman"/>
          <w:i/>
        </w:rPr>
        <w:t xml:space="preserve">supra </w:t>
      </w:r>
      <w:r>
        <w:rPr>
          <w:rFonts w:cs="Times New Roman"/>
        </w:rPr>
        <w:t>note 16, at</w:t>
      </w:r>
      <w:r w:rsidRPr="002128B7">
        <w:rPr>
          <w:rFonts w:cs="Times New Roman"/>
        </w:rPr>
        <w:t xml:space="preserve"> </w:t>
      </w:r>
      <w:r>
        <w:rPr>
          <w:rFonts w:cs="Times New Roman"/>
        </w:rPr>
        <w:t>12-13</w:t>
      </w:r>
      <w:r w:rsidRPr="002128B7">
        <w:rPr>
          <w:rFonts w:cs="Times New Roman"/>
        </w:rPr>
        <w:t>.</w:t>
      </w:r>
    </w:p>
  </w:footnote>
  <w:footnote w:id="75">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Pr>
          <w:rFonts w:cs="Times New Roman"/>
          <w:i/>
        </w:rPr>
        <w:t xml:space="preserve">See </w:t>
      </w:r>
      <w:r w:rsidRPr="002128B7">
        <w:rPr>
          <w:rFonts w:cs="Times New Roman"/>
        </w:rPr>
        <w:t xml:space="preserve">Heper, </w:t>
      </w:r>
      <w:r>
        <w:rPr>
          <w:rFonts w:cs="Times New Roman"/>
          <w:i/>
        </w:rPr>
        <w:t xml:space="preserve">supra </w:t>
      </w:r>
      <w:r>
        <w:rPr>
          <w:rFonts w:cs="Times New Roman"/>
        </w:rPr>
        <w:t xml:space="preserve">note 13, at </w:t>
      </w:r>
      <w:r w:rsidRPr="002128B7">
        <w:rPr>
          <w:rFonts w:cs="Times New Roman"/>
        </w:rPr>
        <w:t>2</w:t>
      </w:r>
      <w:r>
        <w:rPr>
          <w:rFonts w:cs="Times New Roman"/>
        </w:rPr>
        <w:t>.</w:t>
      </w:r>
    </w:p>
  </w:footnote>
  <w:footnote w:id="76">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Pr>
          <w:rFonts w:cs="Times New Roman"/>
          <w:i/>
        </w:rPr>
        <w:t xml:space="preserve">See </w:t>
      </w:r>
      <w:r w:rsidRPr="002128B7">
        <w:rPr>
          <w:rFonts w:cs="Times New Roman"/>
        </w:rPr>
        <w:t xml:space="preserve">Dodd, </w:t>
      </w:r>
      <w:r>
        <w:rPr>
          <w:rFonts w:cs="Times New Roman"/>
          <w:i/>
        </w:rPr>
        <w:t xml:space="preserve">supra </w:t>
      </w:r>
      <w:r>
        <w:rPr>
          <w:rFonts w:cs="Times New Roman"/>
        </w:rPr>
        <w:t xml:space="preserve">note 68, at </w:t>
      </w:r>
      <w:r w:rsidRPr="002128B7">
        <w:rPr>
          <w:rFonts w:cs="Times New Roman"/>
        </w:rPr>
        <w:t>27-28.</w:t>
      </w:r>
    </w:p>
  </w:footnote>
  <w:footnote w:id="77">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Rustow, </w:t>
      </w:r>
      <w:r>
        <w:rPr>
          <w:rFonts w:cs="Times New Roman"/>
          <w:i/>
        </w:rPr>
        <w:t xml:space="preserve">supra </w:t>
      </w:r>
      <w:r>
        <w:rPr>
          <w:rFonts w:cs="Times New Roman"/>
        </w:rPr>
        <w:t>note 16, at</w:t>
      </w:r>
      <w:r w:rsidRPr="002128B7">
        <w:rPr>
          <w:rFonts w:cs="Times New Roman"/>
        </w:rPr>
        <w:t xml:space="preserve"> 14-15.</w:t>
      </w:r>
    </w:p>
  </w:footnote>
  <w:footnote w:id="78">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Dodd, </w:t>
      </w:r>
      <w:r>
        <w:rPr>
          <w:rFonts w:cs="Times New Roman"/>
          <w:i/>
        </w:rPr>
        <w:t xml:space="preserve">supra </w:t>
      </w:r>
      <w:r>
        <w:rPr>
          <w:rFonts w:cs="Times New Roman"/>
        </w:rPr>
        <w:t>note 68, at</w:t>
      </w:r>
      <w:r w:rsidRPr="002128B7">
        <w:rPr>
          <w:rFonts w:cs="Times New Roman"/>
        </w:rPr>
        <w:t xml:space="preserve"> 33.</w:t>
      </w:r>
    </w:p>
  </w:footnote>
  <w:footnote w:id="79">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Pr>
          <w:rFonts w:cs="Times New Roman"/>
          <w:i/>
        </w:rPr>
        <w:t>See</w:t>
      </w:r>
      <w:r w:rsidRPr="002128B7">
        <w:rPr>
          <w:rFonts w:cs="Times New Roman"/>
          <w:i/>
        </w:rPr>
        <w:t xml:space="preserve"> </w:t>
      </w:r>
      <w:r>
        <w:rPr>
          <w:rFonts w:cs="Times New Roman"/>
          <w:smallCaps/>
        </w:rPr>
        <w:t xml:space="preserve">Angrist, </w:t>
      </w:r>
      <w:r>
        <w:rPr>
          <w:rFonts w:cs="Times New Roman"/>
          <w:i/>
        </w:rPr>
        <w:t xml:space="preserve">supra </w:t>
      </w:r>
      <w:r>
        <w:rPr>
          <w:rFonts w:cs="Times New Roman"/>
        </w:rPr>
        <w:t>note 2, at 74</w:t>
      </w:r>
      <w:r w:rsidRPr="002128B7">
        <w:rPr>
          <w:rFonts w:cs="Times New Roman"/>
        </w:rPr>
        <w:t>.</w:t>
      </w:r>
    </w:p>
  </w:footnote>
  <w:footnote w:id="80">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Pr>
          <w:rFonts w:cs="Times New Roman"/>
          <w:i/>
        </w:rPr>
        <w:t xml:space="preserve">See id. </w:t>
      </w:r>
      <w:r>
        <w:rPr>
          <w:rFonts w:cs="Times New Roman"/>
        </w:rPr>
        <w:t xml:space="preserve">at </w:t>
      </w:r>
      <w:r w:rsidRPr="002128B7">
        <w:rPr>
          <w:rFonts w:cs="Times New Roman"/>
        </w:rPr>
        <w:t>19-21.</w:t>
      </w:r>
    </w:p>
  </w:footnote>
  <w:footnote w:id="81">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Pr>
          <w:rFonts w:cs="Times New Roman"/>
          <w:i/>
        </w:rPr>
        <w:t xml:space="preserve">See </w:t>
      </w:r>
      <w:r w:rsidRPr="002128B7">
        <w:rPr>
          <w:rFonts w:cs="Times New Roman"/>
        </w:rPr>
        <w:t xml:space="preserve">Rustow, </w:t>
      </w:r>
      <w:r>
        <w:rPr>
          <w:rFonts w:cs="Times New Roman"/>
          <w:i/>
        </w:rPr>
        <w:t xml:space="preserve">supra </w:t>
      </w:r>
      <w:r>
        <w:rPr>
          <w:rFonts w:cs="Times New Roman"/>
        </w:rPr>
        <w:t>note 16, at</w:t>
      </w:r>
      <w:r w:rsidRPr="002128B7">
        <w:rPr>
          <w:rFonts w:cs="Times New Roman"/>
        </w:rPr>
        <w:t xml:space="preserve"> </w:t>
      </w:r>
      <w:r>
        <w:rPr>
          <w:rFonts w:cs="Times New Roman"/>
        </w:rPr>
        <w:t>14-15</w:t>
      </w:r>
      <w:r w:rsidRPr="002128B7">
        <w:rPr>
          <w:rFonts w:cs="Times New Roman"/>
        </w:rPr>
        <w:t>.</w:t>
      </w:r>
    </w:p>
  </w:footnote>
  <w:footnote w:id="82">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Pr>
          <w:rFonts w:cs="Times New Roman"/>
          <w:i/>
        </w:rPr>
        <w:t xml:space="preserve">Id. </w:t>
      </w:r>
      <w:r>
        <w:rPr>
          <w:rFonts w:cs="Times New Roman"/>
        </w:rPr>
        <w:t>at</w:t>
      </w:r>
      <w:r w:rsidRPr="002128B7">
        <w:rPr>
          <w:rFonts w:cs="Times New Roman"/>
        </w:rPr>
        <w:t xml:space="preserve"> 15.</w:t>
      </w:r>
    </w:p>
  </w:footnote>
  <w:footnote w:id="83">
    <w:p w:rsidR="000D6203" w:rsidRPr="001A7C70" w:rsidRDefault="000D6203" w:rsidP="00B133E5">
      <w:pPr>
        <w:pStyle w:val="FootnoteText"/>
        <w:widowControl w:val="0"/>
        <w:spacing w:after="120"/>
      </w:pPr>
      <w:r>
        <w:rPr>
          <w:rStyle w:val="FootnoteReference"/>
        </w:rPr>
        <w:footnoteRef/>
      </w:r>
      <w:r>
        <w:t xml:space="preserve"> </w:t>
      </w:r>
      <w:r>
        <w:rPr>
          <w:i/>
        </w:rPr>
        <w:t>See</w:t>
      </w:r>
      <w:r>
        <w:t xml:space="preserve"> Esmer, </w:t>
      </w:r>
      <w:r>
        <w:rPr>
          <w:i/>
        </w:rPr>
        <w:t xml:space="preserve">supra </w:t>
      </w:r>
      <w:r>
        <w:t>note 50, at 2.</w:t>
      </w:r>
    </w:p>
  </w:footnote>
  <w:footnote w:id="84">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Pr>
          <w:rFonts w:cs="Times New Roman"/>
          <w:i/>
        </w:rPr>
        <w:t xml:space="preserve">See </w:t>
      </w:r>
      <w:r w:rsidRPr="002128B7">
        <w:rPr>
          <w:rFonts w:cs="Times New Roman"/>
        </w:rPr>
        <w:t xml:space="preserve">Rustow, </w:t>
      </w:r>
      <w:r>
        <w:rPr>
          <w:rFonts w:cs="Times New Roman"/>
          <w:i/>
        </w:rPr>
        <w:t xml:space="preserve">supra </w:t>
      </w:r>
      <w:r>
        <w:rPr>
          <w:rFonts w:cs="Times New Roman"/>
        </w:rPr>
        <w:t>note 16, at</w:t>
      </w:r>
      <w:r w:rsidRPr="002128B7">
        <w:rPr>
          <w:rFonts w:cs="Times New Roman"/>
        </w:rPr>
        <w:t xml:space="preserve"> 15.</w:t>
      </w:r>
    </w:p>
  </w:footnote>
  <w:footnote w:id="85">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Pr>
          <w:rFonts w:cs="Times New Roman"/>
          <w:i/>
        </w:rPr>
        <w:t xml:space="preserve">Id. </w:t>
      </w:r>
      <w:r>
        <w:rPr>
          <w:rFonts w:cs="Times New Roman"/>
        </w:rPr>
        <w:t>at</w:t>
      </w:r>
      <w:r w:rsidRPr="002128B7">
        <w:rPr>
          <w:rFonts w:cs="Times New Roman"/>
        </w:rPr>
        <w:t xml:space="preserve"> </w:t>
      </w:r>
      <w:r>
        <w:rPr>
          <w:rFonts w:cs="Times New Roman"/>
        </w:rPr>
        <w:t>16-</w:t>
      </w:r>
      <w:r w:rsidRPr="002128B7">
        <w:rPr>
          <w:rFonts w:cs="Times New Roman"/>
        </w:rPr>
        <w:t>17.</w:t>
      </w:r>
    </w:p>
  </w:footnote>
  <w:footnote w:id="86">
    <w:p w:rsidR="000D6203" w:rsidRDefault="000D6203" w:rsidP="00B133E5">
      <w:pPr>
        <w:pStyle w:val="FootnoteText"/>
        <w:widowControl w:val="0"/>
        <w:spacing w:after="120"/>
      </w:pPr>
      <w:r>
        <w:rPr>
          <w:rStyle w:val="FootnoteReference"/>
        </w:rPr>
        <w:footnoteRef/>
      </w:r>
      <w:r>
        <w:t xml:space="preserve"> </w:t>
      </w:r>
      <w:r w:rsidRPr="002128B7">
        <w:t xml:space="preserve">M. Hakan Yavuz, </w:t>
      </w:r>
      <w:r w:rsidRPr="002128B7">
        <w:rPr>
          <w:i/>
        </w:rPr>
        <w:t xml:space="preserve">Introduction </w:t>
      </w:r>
      <w:r w:rsidRPr="002128B7">
        <w:t xml:space="preserve">to </w:t>
      </w:r>
      <w:r w:rsidRPr="002128B7">
        <w:rPr>
          <w:smallCaps/>
        </w:rPr>
        <w:t xml:space="preserve">The Emergence of a New Turkey: </w:t>
      </w:r>
      <w:r>
        <w:rPr>
          <w:smallCaps/>
        </w:rPr>
        <w:t xml:space="preserve">Democracy and the AK Parti 1, </w:t>
      </w:r>
      <w:r>
        <w:t>8</w:t>
      </w:r>
      <w:r w:rsidRPr="002128B7">
        <w:t xml:space="preserve"> (M. Hakan Yavuz, ed. 2006).</w:t>
      </w:r>
    </w:p>
  </w:footnote>
  <w:footnote w:id="87">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Pr>
          <w:rFonts w:cs="Times New Roman"/>
          <w:i/>
        </w:rPr>
        <w:t xml:space="preserve">See </w:t>
      </w:r>
      <w:r w:rsidRPr="002128B7">
        <w:rPr>
          <w:rFonts w:cs="Times New Roman"/>
        </w:rPr>
        <w:t xml:space="preserve">Rustow, </w:t>
      </w:r>
      <w:r>
        <w:rPr>
          <w:rFonts w:cs="Times New Roman"/>
          <w:i/>
        </w:rPr>
        <w:t xml:space="preserve">supra </w:t>
      </w:r>
      <w:r>
        <w:rPr>
          <w:rFonts w:cs="Times New Roman"/>
        </w:rPr>
        <w:t>note 16, at</w:t>
      </w:r>
      <w:r w:rsidRPr="002128B7">
        <w:rPr>
          <w:rFonts w:cs="Times New Roman"/>
        </w:rPr>
        <w:t xml:space="preserve"> 18.</w:t>
      </w:r>
    </w:p>
  </w:footnote>
  <w:footnote w:id="88">
    <w:p w:rsidR="000D6203" w:rsidRDefault="000D6203" w:rsidP="00B133E5">
      <w:pPr>
        <w:pStyle w:val="FootnoteText"/>
        <w:widowControl w:val="0"/>
        <w:spacing w:after="120"/>
      </w:pPr>
      <w:r>
        <w:rPr>
          <w:rStyle w:val="FootnoteReference"/>
        </w:rPr>
        <w:footnoteRef/>
      </w:r>
      <w:r>
        <w:t xml:space="preserve"> </w:t>
      </w:r>
      <w:r>
        <w:rPr>
          <w:i/>
        </w:rPr>
        <w:t xml:space="preserve">See </w:t>
      </w:r>
      <w:r>
        <w:t>Sabri Sayar</w:t>
      </w:r>
      <w:r>
        <w:rPr>
          <w:rFonts w:cs="Times New Roman"/>
        </w:rPr>
        <w:t>ı</w:t>
      </w:r>
      <w:r>
        <w:t xml:space="preserve">, </w:t>
      </w:r>
      <w:r>
        <w:rPr>
          <w:i/>
        </w:rPr>
        <w:t>The Changing Party System</w:t>
      </w:r>
      <w:r>
        <w:t xml:space="preserve">, </w:t>
      </w:r>
      <w:r>
        <w:rPr>
          <w:i/>
        </w:rPr>
        <w:t>in</w:t>
      </w:r>
      <w:r>
        <w:t xml:space="preserve"> </w:t>
      </w:r>
      <w:r w:rsidRPr="001A7C70">
        <w:rPr>
          <w:smallCaps/>
        </w:rPr>
        <w:t>Politics, Parties &amp; Elections in Turkey</w:t>
      </w:r>
      <w:r>
        <w:rPr>
          <w:smallCaps/>
        </w:rPr>
        <w:t>,</w:t>
      </w:r>
      <w:r>
        <w:t xml:space="preserve"> </w:t>
      </w:r>
      <w:r>
        <w:rPr>
          <w:i/>
        </w:rPr>
        <w:t xml:space="preserve">supra </w:t>
      </w:r>
      <w:r>
        <w:t>note 50, at 9, 12.</w:t>
      </w:r>
    </w:p>
  </w:footnote>
  <w:footnote w:id="89">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Rustow, </w:t>
      </w:r>
      <w:r>
        <w:rPr>
          <w:rFonts w:cs="Times New Roman"/>
          <w:i/>
        </w:rPr>
        <w:t xml:space="preserve">supra </w:t>
      </w:r>
      <w:r>
        <w:rPr>
          <w:rFonts w:cs="Times New Roman"/>
        </w:rPr>
        <w:t>note 16, at</w:t>
      </w:r>
      <w:r w:rsidRPr="002128B7">
        <w:rPr>
          <w:rFonts w:cs="Times New Roman"/>
        </w:rPr>
        <w:t xml:space="preserve"> 18.</w:t>
      </w:r>
    </w:p>
  </w:footnote>
  <w:footnote w:id="90">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Pr>
          <w:rFonts w:cs="Times New Roman"/>
          <w:i/>
        </w:rPr>
        <w:t>See id. See also</w:t>
      </w:r>
      <w:r>
        <w:rPr>
          <w:rFonts w:cs="Times New Roman"/>
        </w:rPr>
        <w:t xml:space="preserve"> </w:t>
      </w:r>
      <w:r>
        <w:t>Sayar</w:t>
      </w:r>
      <w:r>
        <w:rPr>
          <w:rFonts w:cs="Times New Roman"/>
        </w:rPr>
        <w:t>ı</w:t>
      </w:r>
      <w:r>
        <w:t xml:space="preserve">, </w:t>
      </w:r>
      <w:r>
        <w:rPr>
          <w:i/>
        </w:rPr>
        <w:t xml:space="preserve">supra </w:t>
      </w:r>
      <w:r>
        <w:t>note 88, at 12.</w:t>
      </w:r>
    </w:p>
  </w:footnote>
  <w:footnote w:id="91">
    <w:p w:rsidR="000D6203" w:rsidRPr="00453822"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Pr>
          <w:rFonts w:cs="Times New Roman"/>
          <w:smallCaps/>
        </w:rPr>
        <w:t xml:space="preserve">Angrist, </w:t>
      </w:r>
      <w:r>
        <w:rPr>
          <w:rFonts w:cs="Times New Roman"/>
          <w:i/>
        </w:rPr>
        <w:t xml:space="preserve">supra </w:t>
      </w:r>
      <w:r>
        <w:rPr>
          <w:rFonts w:cs="Times New Roman"/>
        </w:rPr>
        <w:t xml:space="preserve">note 2, at 3-4. </w:t>
      </w:r>
      <w:r>
        <w:rPr>
          <w:rFonts w:cs="Times New Roman"/>
          <w:i/>
        </w:rPr>
        <w:t xml:space="preserve">See </w:t>
      </w:r>
      <w:r w:rsidRPr="009F5FB6">
        <w:rPr>
          <w:rFonts w:cs="Times New Roman"/>
          <w:smallCaps/>
        </w:rPr>
        <w:t>Turk. Const.</w:t>
      </w:r>
      <w:r>
        <w:rPr>
          <w:rFonts w:cs="Times New Roman"/>
        </w:rPr>
        <w:t xml:space="preserve"> art. 111 (1961), </w:t>
      </w:r>
      <w:r>
        <w:rPr>
          <w:rFonts w:cs="Times New Roman"/>
          <w:i/>
        </w:rPr>
        <w:t xml:space="preserve">translated in </w:t>
      </w:r>
      <w:r>
        <w:rPr>
          <w:rFonts w:cs="Times New Roman"/>
        </w:rPr>
        <w:t>Sadik Balkan, Ahmet E. Uysal &amp;</w:t>
      </w:r>
      <w:r w:rsidRPr="00453822">
        <w:rPr>
          <w:rFonts w:cs="Times New Roman"/>
        </w:rPr>
        <w:t xml:space="preserve"> Kemal H. Karpat</w:t>
      </w:r>
      <w:r>
        <w:rPr>
          <w:rFonts w:cs="Times New Roman"/>
        </w:rPr>
        <w:t xml:space="preserve">, </w:t>
      </w:r>
      <w:r>
        <w:rPr>
          <w:rFonts w:cs="Times New Roman"/>
          <w:i/>
        </w:rPr>
        <w:t>Constitution of the Turkish Republic</w:t>
      </w:r>
      <w:r>
        <w:rPr>
          <w:rFonts w:cs="Times New Roman"/>
        </w:rPr>
        <w:t xml:space="preserve">, 16 </w:t>
      </w:r>
      <w:r w:rsidRPr="00453822">
        <w:rPr>
          <w:rFonts w:cs="Times New Roman"/>
          <w:smallCaps/>
        </w:rPr>
        <w:t>Mid. East. J</w:t>
      </w:r>
      <w:r>
        <w:rPr>
          <w:rFonts w:cs="Times New Roman"/>
        </w:rPr>
        <w:t>. 215, 227-28 (1962).</w:t>
      </w:r>
    </w:p>
  </w:footnote>
  <w:footnote w:id="92">
    <w:p w:rsidR="000D6203" w:rsidRDefault="000D6203" w:rsidP="00B133E5">
      <w:pPr>
        <w:pStyle w:val="FootnoteText"/>
        <w:widowControl w:val="0"/>
        <w:spacing w:after="120"/>
      </w:pPr>
      <w:r>
        <w:rPr>
          <w:rStyle w:val="FootnoteReference"/>
        </w:rPr>
        <w:footnoteRef/>
      </w:r>
      <w:r>
        <w:t xml:space="preserve"> </w:t>
      </w:r>
      <w:r>
        <w:rPr>
          <w:rFonts w:cs="Times New Roman"/>
          <w:i/>
        </w:rPr>
        <w:t xml:space="preserve">See </w:t>
      </w:r>
      <w:r>
        <w:t>Sayar</w:t>
      </w:r>
      <w:r>
        <w:rPr>
          <w:rFonts w:cs="Times New Roman"/>
        </w:rPr>
        <w:t>ı</w:t>
      </w:r>
      <w:r>
        <w:t xml:space="preserve">, </w:t>
      </w:r>
      <w:r>
        <w:rPr>
          <w:i/>
        </w:rPr>
        <w:t xml:space="preserve">supra </w:t>
      </w:r>
      <w:r>
        <w:t>note 88, at 12-13.</w:t>
      </w:r>
    </w:p>
  </w:footnote>
  <w:footnote w:id="93">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Pr>
          <w:rFonts w:cs="Times New Roman"/>
          <w:i/>
        </w:rPr>
        <w:t>See</w:t>
      </w:r>
      <w:r>
        <w:rPr>
          <w:rFonts w:cs="Times New Roman"/>
        </w:rPr>
        <w:t xml:space="preserve"> </w:t>
      </w:r>
      <w:r w:rsidRPr="002128B7">
        <w:rPr>
          <w:rFonts w:cs="Times New Roman"/>
        </w:rPr>
        <w:t xml:space="preserve">Rustow, </w:t>
      </w:r>
      <w:r>
        <w:rPr>
          <w:rFonts w:cs="Times New Roman"/>
          <w:i/>
        </w:rPr>
        <w:t xml:space="preserve">supra </w:t>
      </w:r>
      <w:r>
        <w:rPr>
          <w:rFonts w:cs="Times New Roman"/>
        </w:rPr>
        <w:t>note 16, at</w:t>
      </w:r>
      <w:r w:rsidRPr="002128B7">
        <w:rPr>
          <w:rFonts w:cs="Times New Roman"/>
        </w:rPr>
        <w:t xml:space="preserve"> 18</w:t>
      </w:r>
      <w:r>
        <w:rPr>
          <w:rFonts w:cs="Times New Roman"/>
        </w:rPr>
        <w:t xml:space="preserve">; </w:t>
      </w:r>
      <w:r>
        <w:t>Sayar</w:t>
      </w:r>
      <w:r>
        <w:rPr>
          <w:rFonts w:cs="Times New Roman"/>
        </w:rPr>
        <w:t>ı</w:t>
      </w:r>
      <w:r>
        <w:t xml:space="preserve">, </w:t>
      </w:r>
      <w:r>
        <w:rPr>
          <w:i/>
        </w:rPr>
        <w:t xml:space="preserve">supra </w:t>
      </w:r>
      <w:r>
        <w:t>note 88, at 13.</w:t>
      </w:r>
    </w:p>
  </w:footnote>
  <w:footnote w:id="94">
    <w:p w:rsidR="000D6203" w:rsidRPr="00BD6925" w:rsidRDefault="000D6203" w:rsidP="00B133E5">
      <w:pPr>
        <w:pStyle w:val="FootnoteText"/>
        <w:widowControl w:val="0"/>
        <w:spacing w:after="120"/>
      </w:pPr>
      <w:r>
        <w:rPr>
          <w:rStyle w:val="FootnoteReference"/>
        </w:rPr>
        <w:footnoteRef/>
      </w:r>
      <w:r>
        <w:t xml:space="preserve"> </w:t>
      </w:r>
      <w:r>
        <w:rPr>
          <w:i/>
        </w:rPr>
        <w:t>See</w:t>
      </w:r>
      <w:r>
        <w:t xml:space="preserve"> Sayar</w:t>
      </w:r>
      <w:r>
        <w:rPr>
          <w:rFonts w:cs="Times New Roman"/>
        </w:rPr>
        <w:t>ı</w:t>
      </w:r>
      <w:r>
        <w:t xml:space="preserve">, </w:t>
      </w:r>
      <w:r>
        <w:rPr>
          <w:i/>
        </w:rPr>
        <w:t xml:space="preserve">supra </w:t>
      </w:r>
      <w:r>
        <w:t>note 88, at 14-15.</w:t>
      </w:r>
    </w:p>
  </w:footnote>
  <w:footnote w:id="95">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Pr>
          <w:rFonts w:cs="Times New Roman"/>
          <w:i/>
        </w:rPr>
        <w:t>See</w:t>
      </w:r>
      <w:r>
        <w:rPr>
          <w:rFonts w:cs="Times New Roman"/>
        </w:rPr>
        <w:t xml:space="preserve"> </w:t>
      </w:r>
      <w:r w:rsidRPr="002128B7">
        <w:rPr>
          <w:rFonts w:cs="Times New Roman"/>
        </w:rPr>
        <w:t xml:space="preserve">Rustow, </w:t>
      </w:r>
      <w:r>
        <w:rPr>
          <w:rFonts w:cs="Times New Roman"/>
          <w:i/>
        </w:rPr>
        <w:t xml:space="preserve">supra </w:t>
      </w:r>
      <w:r>
        <w:rPr>
          <w:rFonts w:cs="Times New Roman"/>
        </w:rPr>
        <w:t>note 16, at</w:t>
      </w:r>
      <w:r w:rsidRPr="002128B7">
        <w:rPr>
          <w:rFonts w:cs="Times New Roman"/>
        </w:rPr>
        <w:t xml:space="preserve"> 19</w:t>
      </w:r>
      <w:r>
        <w:rPr>
          <w:rFonts w:cs="Times New Roman"/>
        </w:rPr>
        <w:t xml:space="preserve">; </w:t>
      </w:r>
      <w:r>
        <w:t>Sayar</w:t>
      </w:r>
      <w:r>
        <w:rPr>
          <w:rFonts w:cs="Times New Roman"/>
        </w:rPr>
        <w:t>ı</w:t>
      </w:r>
      <w:r>
        <w:t xml:space="preserve">, </w:t>
      </w:r>
      <w:r>
        <w:rPr>
          <w:i/>
        </w:rPr>
        <w:t xml:space="preserve">supra </w:t>
      </w:r>
      <w:r>
        <w:t>note 88, at 14-15</w:t>
      </w:r>
      <w:r w:rsidRPr="002128B7">
        <w:rPr>
          <w:rFonts w:cs="Times New Roman"/>
        </w:rPr>
        <w:t>.</w:t>
      </w:r>
    </w:p>
  </w:footnote>
  <w:footnote w:id="96">
    <w:p w:rsidR="000D6203" w:rsidRDefault="000D6203" w:rsidP="00B133E5">
      <w:pPr>
        <w:pStyle w:val="FootnoteText"/>
        <w:widowControl w:val="0"/>
        <w:spacing w:after="120"/>
      </w:pPr>
      <w:r>
        <w:rPr>
          <w:rStyle w:val="FootnoteReference"/>
        </w:rPr>
        <w:footnoteRef/>
      </w:r>
      <w:r>
        <w:t xml:space="preserve"> </w:t>
      </w:r>
      <w:r>
        <w:rPr>
          <w:i/>
        </w:rPr>
        <w:t xml:space="preserve">See </w:t>
      </w:r>
      <w:r>
        <w:t>Sayar</w:t>
      </w:r>
      <w:r>
        <w:rPr>
          <w:rFonts w:cs="Times New Roman"/>
        </w:rPr>
        <w:t>ı</w:t>
      </w:r>
      <w:r>
        <w:t xml:space="preserve">, </w:t>
      </w:r>
      <w:r>
        <w:rPr>
          <w:i/>
        </w:rPr>
        <w:t xml:space="preserve">supra </w:t>
      </w:r>
      <w:r>
        <w:t>note 89, at 16.</w:t>
      </w:r>
    </w:p>
  </w:footnote>
  <w:footnote w:id="97">
    <w:p w:rsidR="000D6203" w:rsidRPr="00FD0BB2"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Pr>
          <w:rFonts w:cs="Times New Roman"/>
          <w:i/>
        </w:rPr>
        <w:t>See</w:t>
      </w:r>
      <w:r>
        <w:rPr>
          <w:rFonts w:cs="Times New Roman"/>
        </w:rPr>
        <w:t xml:space="preserve"> </w:t>
      </w:r>
      <w:r w:rsidRPr="002128B7">
        <w:rPr>
          <w:rFonts w:cs="Times New Roman"/>
        </w:rPr>
        <w:t xml:space="preserve">Rustow, </w:t>
      </w:r>
      <w:r>
        <w:rPr>
          <w:rFonts w:cs="Times New Roman"/>
          <w:i/>
        </w:rPr>
        <w:t xml:space="preserve">supra </w:t>
      </w:r>
      <w:r>
        <w:rPr>
          <w:rFonts w:cs="Times New Roman"/>
        </w:rPr>
        <w:t>note 16, at</w:t>
      </w:r>
      <w:r w:rsidRPr="002128B7">
        <w:rPr>
          <w:rFonts w:cs="Times New Roman"/>
        </w:rPr>
        <w:t xml:space="preserve"> 19.</w:t>
      </w:r>
      <w:r>
        <w:rPr>
          <w:rFonts w:cs="Times New Roman"/>
        </w:rPr>
        <w:t xml:space="preserve"> </w:t>
      </w:r>
      <w:r>
        <w:rPr>
          <w:rFonts w:cs="Times New Roman"/>
          <w:i/>
        </w:rPr>
        <w:t xml:space="preserve">See also </w:t>
      </w:r>
      <w:r>
        <w:t>Sayar</w:t>
      </w:r>
      <w:r>
        <w:rPr>
          <w:rFonts w:cs="Times New Roman"/>
        </w:rPr>
        <w:t>ı</w:t>
      </w:r>
      <w:r>
        <w:t xml:space="preserve">, </w:t>
      </w:r>
      <w:r>
        <w:rPr>
          <w:i/>
        </w:rPr>
        <w:t xml:space="preserve">supra </w:t>
      </w:r>
      <w:r>
        <w:t>note 87, at 15-16.</w:t>
      </w:r>
    </w:p>
  </w:footnote>
  <w:footnote w:id="98">
    <w:p w:rsidR="000D6203" w:rsidRDefault="000D6203" w:rsidP="00B133E5">
      <w:pPr>
        <w:pStyle w:val="FootnoteText"/>
        <w:widowControl w:val="0"/>
        <w:spacing w:after="120"/>
      </w:pPr>
      <w:r>
        <w:rPr>
          <w:rStyle w:val="FootnoteReference"/>
        </w:rPr>
        <w:footnoteRef/>
      </w:r>
      <w:r>
        <w:t xml:space="preserve"> </w:t>
      </w:r>
      <w:r>
        <w:rPr>
          <w:i/>
        </w:rPr>
        <w:t xml:space="preserve">See </w:t>
      </w:r>
      <w:r>
        <w:t>Sayar</w:t>
      </w:r>
      <w:r>
        <w:rPr>
          <w:rFonts w:cs="Times New Roman"/>
        </w:rPr>
        <w:t>ı</w:t>
      </w:r>
      <w:r>
        <w:t xml:space="preserve">, </w:t>
      </w:r>
      <w:r>
        <w:rPr>
          <w:i/>
        </w:rPr>
        <w:t xml:space="preserve">supra </w:t>
      </w:r>
      <w:r>
        <w:t>note 88, at 16.</w:t>
      </w:r>
    </w:p>
  </w:footnote>
  <w:footnote w:id="99">
    <w:p w:rsidR="000D6203" w:rsidRDefault="000D6203" w:rsidP="00B133E5">
      <w:pPr>
        <w:pStyle w:val="FootnoteText"/>
        <w:widowControl w:val="0"/>
        <w:spacing w:after="120"/>
      </w:pPr>
      <w:r>
        <w:rPr>
          <w:rStyle w:val="FootnoteReference"/>
        </w:rPr>
        <w:footnoteRef/>
      </w:r>
      <w:r>
        <w:t xml:space="preserve"> </w:t>
      </w:r>
      <w:r>
        <w:rPr>
          <w:i/>
        </w:rPr>
        <w:t xml:space="preserve">See id. </w:t>
      </w:r>
      <w:r>
        <w:t>at 16-17.</w:t>
      </w:r>
    </w:p>
  </w:footnote>
  <w:footnote w:id="100">
    <w:p w:rsidR="000D6203" w:rsidRDefault="000D6203" w:rsidP="00B133E5">
      <w:pPr>
        <w:pStyle w:val="FootnoteText"/>
        <w:widowControl w:val="0"/>
        <w:spacing w:after="120"/>
      </w:pPr>
      <w:r>
        <w:rPr>
          <w:rStyle w:val="FootnoteReference"/>
        </w:rPr>
        <w:footnoteRef/>
      </w:r>
      <w:r>
        <w:t xml:space="preserve"> </w:t>
      </w:r>
      <w:r>
        <w:rPr>
          <w:i/>
        </w:rPr>
        <w:t xml:space="preserve">See id. </w:t>
      </w:r>
      <w:r>
        <w:t>at 17-21.</w:t>
      </w:r>
    </w:p>
  </w:footnote>
  <w:footnote w:id="101">
    <w:p w:rsidR="000D6203" w:rsidRDefault="000D6203" w:rsidP="00B133E5">
      <w:pPr>
        <w:pStyle w:val="FootnoteText"/>
        <w:widowControl w:val="0"/>
        <w:spacing w:after="120"/>
      </w:pPr>
      <w:r>
        <w:rPr>
          <w:rStyle w:val="FootnoteReference"/>
        </w:rPr>
        <w:footnoteRef/>
      </w:r>
      <w:r>
        <w:t xml:space="preserve"> </w:t>
      </w:r>
      <w:r>
        <w:rPr>
          <w:i/>
        </w:rPr>
        <w:t xml:space="preserve">See id. </w:t>
      </w:r>
      <w:r>
        <w:t>at 18.</w:t>
      </w:r>
    </w:p>
  </w:footnote>
  <w:footnote w:id="102">
    <w:p w:rsidR="000D6203" w:rsidRDefault="000D6203" w:rsidP="00B133E5">
      <w:pPr>
        <w:pStyle w:val="FootnoteText"/>
        <w:widowControl w:val="0"/>
        <w:spacing w:after="120"/>
      </w:pPr>
      <w:r>
        <w:rPr>
          <w:rStyle w:val="FootnoteReference"/>
        </w:rPr>
        <w:footnoteRef/>
      </w:r>
      <w:r>
        <w:t xml:space="preserve"> </w:t>
      </w:r>
      <w:r>
        <w:rPr>
          <w:i/>
        </w:rPr>
        <w:t>See</w:t>
      </w:r>
      <w:r w:rsidRPr="002128B7">
        <w:t xml:space="preserve"> Yavuz, </w:t>
      </w:r>
      <w:r>
        <w:rPr>
          <w:i/>
        </w:rPr>
        <w:t xml:space="preserve">supra </w:t>
      </w:r>
      <w:r>
        <w:t xml:space="preserve">note 86, at </w:t>
      </w:r>
      <w:r w:rsidRPr="002128B7">
        <w:t>1</w:t>
      </w:r>
      <w:r>
        <w:t>7</w:t>
      </w:r>
      <w:r w:rsidRPr="002128B7">
        <w:t>.</w:t>
      </w:r>
    </w:p>
  </w:footnote>
  <w:footnote w:id="103">
    <w:p w:rsidR="000D6203" w:rsidRPr="003E10E4" w:rsidRDefault="000D6203" w:rsidP="00B133E5">
      <w:pPr>
        <w:pStyle w:val="FootnoteText"/>
        <w:widowControl w:val="0"/>
        <w:spacing w:after="120"/>
      </w:pPr>
      <w:r>
        <w:rPr>
          <w:rStyle w:val="FootnoteReference"/>
        </w:rPr>
        <w:footnoteRef/>
      </w:r>
      <w:r>
        <w:t xml:space="preserve"> </w:t>
      </w:r>
      <w:r>
        <w:rPr>
          <w:i/>
        </w:rPr>
        <w:t xml:space="preserve">See id. </w:t>
      </w:r>
      <w:r>
        <w:t xml:space="preserve">at </w:t>
      </w:r>
      <w:r>
        <w:rPr>
          <w:smallCaps/>
        </w:rPr>
        <w:t>16-</w:t>
      </w:r>
      <w:r w:rsidRPr="002128B7">
        <w:t>1</w:t>
      </w:r>
      <w:r>
        <w:t>7</w:t>
      </w:r>
      <w:r w:rsidRPr="002128B7">
        <w:t>.</w:t>
      </w:r>
    </w:p>
  </w:footnote>
  <w:footnote w:id="104">
    <w:p w:rsidR="000D6203" w:rsidRDefault="000D6203" w:rsidP="00B133E5">
      <w:pPr>
        <w:pStyle w:val="FootnoteText"/>
        <w:widowControl w:val="0"/>
        <w:spacing w:after="120"/>
      </w:pPr>
      <w:r>
        <w:rPr>
          <w:rStyle w:val="FootnoteReference"/>
        </w:rPr>
        <w:footnoteRef/>
      </w:r>
      <w:r>
        <w:t xml:space="preserve"> </w:t>
      </w:r>
      <w:r>
        <w:rPr>
          <w:i/>
        </w:rPr>
        <w:t xml:space="preserve">See </w:t>
      </w:r>
      <w:r>
        <w:t>Sayar</w:t>
      </w:r>
      <w:r>
        <w:rPr>
          <w:rFonts w:cs="Times New Roman"/>
        </w:rPr>
        <w:t>ı</w:t>
      </w:r>
      <w:r>
        <w:t xml:space="preserve">, </w:t>
      </w:r>
      <w:r>
        <w:rPr>
          <w:i/>
        </w:rPr>
        <w:t xml:space="preserve">supra </w:t>
      </w:r>
      <w:r>
        <w:t>note 88, at 19.</w:t>
      </w:r>
    </w:p>
  </w:footnote>
  <w:footnote w:id="105">
    <w:p w:rsidR="000D6203" w:rsidRPr="002128B7" w:rsidRDefault="000D6203" w:rsidP="00B133E5">
      <w:pPr>
        <w:widowControl w:val="0"/>
        <w:spacing w:after="120" w:line="240" w:lineRule="auto"/>
      </w:pPr>
      <w:r w:rsidRPr="002128B7">
        <w:rPr>
          <w:rStyle w:val="FootnoteReference"/>
        </w:rPr>
        <w:footnoteRef/>
      </w:r>
      <w:r>
        <w:t xml:space="preserve"> </w:t>
      </w:r>
      <w:r>
        <w:rPr>
          <w:i/>
        </w:rPr>
        <w:t>See</w:t>
      </w:r>
      <w:r w:rsidRPr="002128B7">
        <w:t xml:space="preserve"> Yavuz, </w:t>
      </w:r>
      <w:r>
        <w:rPr>
          <w:i/>
        </w:rPr>
        <w:t xml:space="preserve">supra </w:t>
      </w:r>
      <w:r>
        <w:t xml:space="preserve">note 86, at </w:t>
      </w:r>
      <w:r w:rsidRPr="002128B7">
        <w:t>1</w:t>
      </w:r>
      <w:r>
        <w:t>, 9</w:t>
      </w:r>
      <w:r w:rsidRPr="002128B7">
        <w:t>.</w:t>
      </w:r>
    </w:p>
  </w:footnote>
  <w:footnote w:id="106">
    <w:p w:rsidR="000D6203" w:rsidRDefault="000D6203" w:rsidP="00B133E5">
      <w:pPr>
        <w:pStyle w:val="FootnoteText"/>
        <w:widowControl w:val="0"/>
        <w:spacing w:after="120"/>
      </w:pPr>
      <w:r>
        <w:rPr>
          <w:rStyle w:val="FootnoteReference"/>
        </w:rPr>
        <w:footnoteRef/>
      </w:r>
      <w:r>
        <w:t xml:space="preserve"> </w:t>
      </w:r>
      <w:r w:rsidRPr="002128B7">
        <w:rPr>
          <w:rFonts w:cs="Times New Roman"/>
          <w:i/>
        </w:rPr>
        <w:t xml:space="preserve">See </w:t>
      </w:r>
      <w:r w:rsidRPr="002128B7">
        <w:rPr>
          <w:rFonts w:cs="Times New Roman"/>
        </w:rPr>
        <w:t xml:space="preserve">Genckaya, </w:t>
      </w:r>
      <w:r>
        <w:rPr>
          <w:rFonts w:cs="Times New Roman"/>
          <w:i/>
        </w:rPr>
        <w:t xml:space="preserve">supra </w:t>
      </w:r>
      <w:r>
        <w:rPr>
          <w:rFonts w:cs="Times New Roman"/>
        </w:rPr>
        <w:t>note 19, at 41</w:t>
      </w:r>
      <w:r w:rsidRPr="002128B7">
        <w:rPr>
          <w:rFonts w:cs="Times New Roman"/>
        </w:rPr>
        <w:t>.</w:t>
      </w:r>
    </w:p>
  </w:footnote>
  <w:footnote w:id="107">
    <w:p w:rsidR="000D6203" w:rsidRDefault="000D6203" w:rsidP="00B133E5">
      <w:pPr>
        <w:pStyle w:val="FootnoteText"/>
        <w:widowControl w:val="0"/>
        <w:spacing w:after="120"/>
      </w:pPr>
      <w:r>
        <w:rPr>
          <w:rStyle w:val="FootnoteReference"/>
        </w:rPr>
        <w:footnoteRef/>
      </w:r>
      <w:r>
        <w:t xml:space="preserve"> </w:t>
      </w:r>
      <w:r>
        <w:rPr>
          <w:i/>
        </w:rPr>
        <w:t>See</w:t>
      </w:r>
      <w:r w:rsidRPr="002128B7">
        <w:t xml:space="preserve"> Yavuz, </w:t>
      </w:r>
      <w:r>
        <w:rPr>
          <w:i/>
        </w:rPr>
        <w:t xml:space="preserve">supra </w:t>
      </w:r>
      <w:r>
        <w:t>note 88, at</w:t>
      </w:r>
      <w:r>
        <w:rPr>
          <w:smallCaps/>
        </w:rPr>
        <w:t xml:space="preserve"> </w:t>
      </w:r>
      <w:r>
        <w:t>2</w:t>
      </w:r>
      <w:r w:rsidRPr="002128B7">
        <w:t>.</w:t>
      </w:r>
    </w:p>
  </w:footnote>
  <w:footnote w:id="108">
    <w:p w:rsidR="000D6203" w:rsidRDefault="000D6203" w:rsidP="00B133E5">
      <w:pPr>
        <w:pStyle w:val="FootnoteText"/>
        <w:widowControl w:val="0"/>
        <w:spacing w:after="120"/>
      </w:pPr>
      <w:r>
        <w:rPr>
          <w:rStyle w:val="FootnoteReference"/>
        </w:rPr>
        <w:footnoteRef/>
      </w:r>
      <w:r>
        <w:t xml:space="preserve"> </w:t>
      </w:r>
      <w:r>
        <w:rPr>
          <w:i/>
        </w:rPr>
        <w:t xml:space="preserve">See id. </w:t>
      </w:r>
      <w:r>
        <w:t>at</w:t>
      </w:r>
      <w:r>
        <w:rPr>
          <w:smallCaps/>
        </w:rPr>
        <w:t xml:space="preserve"> </w:t>
      </w:r>
      <w:r>
        <w:t>5</w:t>
      </w:r>
      <w:r w:rsidRPr="002128B7">
        <w:t>.</w:t>
      </w:r>
    </w:p>
  </w:footnote>
  <w:footnote w:id="109">
    <w:p w:rsidR="000D6203" w:rsidRPr="00080C1F" w:rsidRDefault="000D6203" w:rsidP="00B133E5">
      <w:pPr>
        <w:pStyle w:val="FootnoteText"/>
        <w:widowControl w:val="0"/>
        <w:spacing w:after="120"/>
      </w:pPr>
      <w:r>
        <w:rPr>
          <w:rStyle w:val="FootnoteReference"/>
        </w:rPr>
        <w:footnoteRef/>
      </w:r>
      <w:r>
        <w:t xml:space="preserve"> </w:t>
      </w:r>
      <w:r>
        <w:rPr>
          <w:i/>
        </w:rPr>
        <w:t xml:space="preserve">See id. </w:t>
      </w:r>
      <w:r>
        <w:t>at</w:t>
      </w:r>
      <w:r>
        <w:rPr>
          <w:smallCaps/>
        </w:rPr>
        <w:t xml:space="preserve"> </w:t>
      </w:r>
      <w:r>
        <w:t>9-11</w:t>
      </w:r>
      <w:r w:rsidRPr="002128B7">
        <w:t>.</w:t>
      </w:r>
    </w:p>
  </w:footnote>
  <w:footnote w:id="110">
    <w:p w:rsidR="000D6203" w:rsidRDefault="000D6203" w:rsidP="00B133E5">
      <w:pPr>
        <w:pStyle w:val="FootnoteText"/>
        <w:widowControl w:val="0"/>
        <w:spacing w:after="120"/>
      </w:pPr>
      <w:r>
        <w:rPr>
          <w:rStyle w:val="FootnoteReference"/>
        </w:rPr>
        <w:footnoteRef/>
      </w:r>
      <w:r>
        <w:t xml:space="preserve"> </w:t>
      </w:r>
      <w:r>
        <w:rPr>
          <w:i/>
        </w:rPr>
        <w:t xml:space="preserve">See id. </w:t>
      </w:r>
      <w:r>
        <w:t>at</w:t>
      </w:r>
      <w:r>
        <w:rPr>
          <w:smallCaps/>
        </w:rPr>
        <w:t xml:space="preserve"> </w:t>
      </w:r>
      <w:r>
        <w:t>1-2</w:t>
      </w:r>
      <w:r w:rsidRPr="002128B7">
        <w:t>.</w:t>
      </w:r>
    </w:p>
  </w:footnote>
  <w:footnote w:id="111">
    <w:p w:rsidR="000D6203" w:rsidRDefault="000D6203" w:rsidP="00B133E5">
      <w:pPr>
        <w:pStyle w:val="FootnoteText"/>
        <w:widowControl w:val="0"/>
        <w:spacing w:after="120"/>
      </w:pPr>
      <w:r>
        <w:rPr>
          <w:rStyle w:val="FootnoteReference"/>
        </w:rPr>
        <w:footnoteRef/>
      </w:r>
      <w:r>
        <w:t xml:space="preserve"> </w:t>
      </w:r>
      <w:r>
        <w:rPr>
          <w:i/>
        </w:rPr>
        <w:t xml:space="preserve">See id. </w:t>
      </w:r>
      <w:r>
        <w:t>at 2-3, 10</w:t>
      </w:r>
      <w:r w:rsidRPr="002128B7">
        <w:t>.</w:t>
      </w:r>
    </w:p>
  </w:footnote>
  <w:footnote w:id="112">
    <w:p w:rsidR="000D6203" w:rsidRDefault="000D6203" w:rsidP="00B133E5">
      <w:pPr>
        <w:pStyle w:val="FootnoteText"/>
        <w:widowControl w:val="0"/>
        <w:spacing w:after="120"/>
      </w:pPr>
      <w:r>
        <w:rPr>
          <w:rStyle w:val="FootnoteReference"/>
        </w:rPr>
        <w:footnoteRef/>
      </w:r>
      <w:r>
        <w:t xml:space="preserve"> </w:t>
      </w:r>
      <w:r>
        <w:rPr>
          <w:i/>
        </w:rPr>
        <w:t xml:space="preserve">See id. </w:t>
      </w:r>
      <w:r>
        <w:t>at 3-4</w:t>
      </w:r>
      <w:r w:rsidRPr="002128B7">
        <w:t>.</w:t>
      </w:r>
    </w:p>
  </w:footnote>
  <w:footnote w:id="113">
    <w:p w:rsidR="000D6203" w:rsidRDefault="000D6203" w:rsidP="00B133E5">
      <w:pPr>
        <w:pStyle w:val="FootnoteText"/>
        <w:widowControl w:val="0"/>
        <w:spacing w:after="120"/>
      </w:pPr>
      <w:r>
        <w:rPr>
          <w:rStyle w:val="FootnoteReference"/>
        </w:rPr>
        <w:footnoteRef/>
      </w:r>
      <w:r>
        <w:t xml:space="preserve"> </w:t>
      </w:r>
      <w:r>
        <w:rPr>
          <w:i/>
        </w:rPr>
        <w:t xml:space="preserve">See id. </w:t>
      </w:r>
      <w:r>
        <w:t xml:space="preserve">at </w:t>
      </w:r>
      <w:r>
        <w:rPr>
          <w:smallCaps/>
        </w:rPr>
        <w:t>9-</w:t>
      </w:r>
      <w:r>
        <w:t>10</w:t>
      </w:r>
      <w:r w:rsidRPr="002128B7">
        <w:t>.</w:t>
      </w:r>
    </w:p>
  </w:footnote>
  <w:footnote w:id="114">
    <w:p w:rsidR="000D6203" w:rsidRPr="00EB4879" w:rsidRDefault="000D6203" w:rsidP="00B133E5">
      <w:pPr>
        <w:pStyle w:val="FootnoteText"/>
        <w:widowControl w:val="0"/>
        <w:spacing w:after="120"/>
      </w:pPr>
      <w:r>
        <w:rPr>
          <w:rStyle w:val="FootnoteReference"/>
        </w:rPr>
        <w:footnoteRef/>
      </w:r>
      <w:r>
        <w:t xml:space="preserve"> </w:t>
      </w:r>
      <w:r>
        <w:rPr>
          <w:i/>
        </w:rPr>
        <w:t xml:space="preserve">See generally </w:t>
      </w:r>
      <w:r>
        <w:t xml:space="preserve">Turkish Grand National Assembly Website, </w:t>
      </w:r>
      <w:r>
        <w:rPr>
          <w:i/>
        </w:rPr>
        <w:t>The Constitutional Tradition and Parliamentary Life</w:t>
      </w:r>
      <w:r>
        <w:t xml:space="preserve">, </w:t>
      </w:r>
      <w:r w:rsidRPr="004E08F2">
        <w:t>http://www.tbmm.gov.tr/english/about_tgna.htm</w:t>
      </w:r>
      <w:r>
        <w:t xml:space="preserve"> (last visited Dec. 2, 2009) (discussing generally the various Turkish constitutions).</w:t>
      </w:r>
    </w:p>
  </w:footnote>
  <w:footnote w:id="115">
    <w:p w:rsidR="000D6203" w:rsidRDefault="000D6203" w:rsidP="00B133E5">
      <w:pPr>
        <w:pStyle w:val="FootnoteText"/>
        <w:widowControl w:val="0"/>
        <w:spacing w:after="120"/>
      </w:pPr>
      <w:r>
        <w:rPr>
          <w:rStyle w:val="FootnoteReference"/>
        </w:rPr>
        <w:footnoteRef/>
      </w:r>
      <w:r>
        <w:t xml:space="preserve"> </w:t>
      </w:r>
      <w:r>
        <w:rPr>
          <w:rFonts w:cs="Times New Roman"/>
          <w:smallCaps/>
        </w:rPr>
        <w:t>Ottoman Const.</w:t>
      </w:r>
      <w:r>
        <w:rPr>
          <w:rFonts w:cs="Times New Roman"/>
        </w:rPr>
        <w:t xml:space="preserve"> art. 1 (1876), </w:t>
      </w:r>
      <w:r>
        <w:rPr>
          <w:rFonts w:cs="Times New Roman"/>
          <w:i/>
        </w:rPr>
        <w:t xml:space="preserve">available at </w:t>
      </w:r>
      <w:r w:rsidRPr="00B01B12">
        <w:rPr>
          <w:rFonts w:cs="Times New Roman"/>
        </w:rPr>
        <w:t>http://www.anayasa.gen.tr/1876constitution.htm.</w:t>
      </w:r>
    </w:p>
  </w:footnote>
  <w:footnote w:id="116">
    <w:p w:rsidR="000D6203" w:rsidRDefault="000D6203" w:rsidP="00B133E5">
      <w:pPr>
        <w:pStyle w:val="FootnoteText"/>
        <w:widowControl w:val="0"/>
        <w:spacing w:after="120"/>
      </w:pPr>
      <w:r>
        <w:rPr>
          <w:rStyle w:val="FootnoteReference"/>
        </w:rPr>
        <w:footnoteRef/>
      </w:r>
      <w:r>
        <w:t xml:space="preserve"> </w:t>
      </w:r>
      <w:r>
        <w:rPr>
          <w:i/>
        </w:rPr>
        <w:t xml:space="preserve">See id. </w:t>
      </w:r>
      <w:r>
        <w:rPr>
          <w:rFonts w:cs="Times New Roman"/>
        </w:rPr>
        <w:t>&amp; arts. 9-11, 15, 21</w:t>
      </w:r>
      <w:r w:rsidRPr="00B01B12">
        <w:rPr>
          <w:rFonts w:cs="Times New Roman"/>
        </w:rPr>
        <w:t>.</w:t>
      </w:r>
    </w:p>
  </w:footnote>
  <w:footnote w:id="117">
    <w:p w:rsidR="000D6203" w:rsidRDefault="000D6203" w:rsidP="00B133E5">
      <w:pPr>
        <w:pStyle w:val="FootnoteText"/>
        <w:widowControl w:val="0"/>
        <w:spacing w:after="120"/>
      </w:pPr>
      <w:r>
        <w:rPr>
          <w:rStyle w:val="FootnoteReference"/>
        </w:rPr>
        <w:footnoteRef/>
      </w:r>
      <w:r>
        <w:t xml:space="preserve"> </w:t>
      </w:r>
      <w:r>
        <w:rPr>
          <w:i/>
        </w:rPr>
        <w:t xml:space="preserve">See id. </w:t>
      </w:r>
      <w:r>
        <w:rPr>
          <w:rFonts w:cs="Times New Roman"/>
        </w:rPr>
        <w:t>arts. 18, 60, 62.</w:t>
      </w:r>
    </w:p>
  </w:footnote>
  <w:footnote w:id="118">
    <w:p w:rsidR="000D6203" w:rsidRDefault="000D6203" w:rsidP="00B133E5">
      <w:pPr>
        <w:pStyle w:val="FootnoteText"/>
        <w:widowControl w:val="0"/>
        <w:spacing w:after="120"/>
      </w:pPr>
      <w:r>
        <w:rPr>
          <w:rStyle w:val="FootnoteReference"/>
        </w:rPr>
        <w:footnoteRef/>
      </w:r>
      <w:r>
        <w:t xml:space="preserve"> </w:t>
      </w:r>
      <w:r>
        <w:rPr>
          <w:i/>
        </w:rPr>
        <w:t xml:space="preserve">See id. </w:t>
      </w:r>
      <w:r>
        <w:rPr>
          <w:rFonts w:cs="Times New Roman"/>
        </w:rPr>
        <w:t>arts. 7, 27, 53.</w:t>
      </w:r>
    </w:p>
  </w:footnote>
  <w:footnote w:id="119">
    <w:p w:rsidR="000D6203" w:rsidRDefault="000D6203" w:rsidP="00B133E5">
      <w:pPr>
        <w:pStyle w:val="FootnoteText"/>
        <w:widowControl w:val="0"/>
        <w:spacing w:after="120"/>
      </w:pPr>
      <w:r>
        <w:rPr>
          <w:rStyle w:val="FootnoteReference"/>
        </w:rPr>
        <w:footnoteRef/>
      </w:r>
      <w:r>
        <w:t xml:space="preserve"> </w:t>
      </w:r>
      <w:r>
        <w:rPr>
          <w:i/>
        </w:rPr>
        <w:t xml:space="preserve">See </w:t>
      </w:r>
      <w:r>
        <w:rPr>
          <w:rFonts w:cs="Times New Roman"/>
          <w:smallCaps/>
        </w:rPr>
        <w:t>Ottoman Const.</w:t>
      </w:r>
      <w:r>
        <w:rPr>
          <w:rFonts w:cs="Times New Roman"/>
        </w:rPr>
        <w:t xml:space="preserve"> art. 120 (amended 1909), </w:t>
      </w:r>
      <w:r>
        <w:rPr>
          <w:rFonts w:cs="Times New Roman"/>
          <w:i/>
        </w:rPr>
        <w:t xml:space="preserve">available at </w:t>
      </w:r>
      <w:r w:rsidRPr="001E1D79">
        <w:rPr>
          <w:rFonts w:cs="Times New Roman"/>
        </w:rPr>
        <w:t>http://www.anayasa.gen.tr/1909amendment.htm</w:t>
      </w:r>
      <w:r>
        <w:rPr>
          <w:rFonts w:cs="Times New Roman"/>
        </w:rPr>
        <w:t xml:space="preserve">; </w:t>
      </w:r>
      <w:r>
        <w:rPr>
          <w:i/>
        </w:rPr>
        <w:t xml:space="preserve">supra </w:t>
      </w:r>
      <w:r>
        <w:t>notes 44-53 and accompanying text.</w:t>
      </w:r>
    </w:p>
  </w:footnote>
  <w:footnote w:id="120">
    <w:p w:rsidR="000D6203" w:rsidRDefault="000D6203" w:rsidP="00B133E5">
      <w:pPr>
        <w:pStyle w:val="FootnoteText"/>
        <w:widowControl w:val="0"/>
        <w:spacing w:after="120"/>
      </w:pPr>
      <w:r>
        <w:rPr>
          <w:rStyle w:val="FootnoteReference"/>
        </w:rPr>
        <w:footnoteRef/>
      </w:r>
      <w:r>
        <w:t xml:space="preserve"> </w:t>
      </w:r>
      <w:r>
        <w:rPr>
          <w:i/>
        </w:rPr>
        <w:t xml:space="preserve">See </w:t>
      </w:r>
      <w:r>
        <w:rPr>
          <w:rFonts w:cs="Times New Roman"/>
          <w:smallCaps/>
        </w:rPr>
        <w:t>Ottoman Const.</w:t>
      </w:r>
      <w:r>
        <w:rPr>
          <w:rFonts w:cs="Times New Roman"/>
        </w:rPr>
        <w:t xml:space="preserve"> art. 120 (amended 1909), </w:t>
      </w:r>
      <w:r>
        <w:rPr>
          <w:rFonts w:cs="Times New Roman"/>
          <w:i/>
        </w:rPr>
        <w:t xml:space="preserve">available at </w:t>
      </w:r>
      <w:r w:rsidRPr="001E1D79">
        <w:rPr>
          <w:rFonts w:cs="Times New Roman"/>
        </w:rPr>
        <w:t>http://www.anayasa.gen.tr/1909amendment.htm</w:t>
      </w:r>
      <w:r>
        <w:rPr>
          <w:i/>
        </w:rPr>
        <w:t>.</w:t>
      </w:r>
    </w:p>
  </w:footnote>
  <w:footnote w:id="121">
    <w:p w:rsidR="000D6203" w:rsidRDefault="000D6203" w:rsidP="00B133E5">
      <w:pPr>
        <w:pStyle w:val="FootnoteText"/>
        <w:widowControl w:val="0"/>
        <w:spacing w:after="120"/>
      </w:pPr>
      <w:r>
        <w:rPr>
          <w:rStyle w:val="FootnoteReference"/>
        </w:rPr>
        <w:footnoteRef/>
      </w:r>
      <w:r>
        <w:t xml:space="preserve"> </w:t>
      </w:r>
      <w:r>
        <w:rPr>
          <w:i/>
        </w:rPr>
        <w:t>See id.</w:t>
      </w:r>
      <w:r>
        <w:rPr>
          <w:rFonts w:cs="Times New Roman"/>
        </w:rPr>
        <w:t xml:space="preserve">; </w:t>
      </w:r>
      <w:r>
        <w:rPr>
          <w:i/>
        </w:rPr>
        <w:t xml:space="preserve">supra </w:t>
      </w:r>
      <w:r>
        <w:t>note 41 and accompanying text.</w:t>
      </w:r>
    </w:p>
  </w:footnote>
  <w:footnote w:id="122">
    <w:p w:rsidR="000D6203" w:rsidRDefault="000D6203" w:rsidP="00B133E5">
      <w:pPr>
        <w:pStyle w:val="FootnoteText"/>
        <w:widowControl w:val="0"/>
        <w:spacing w:after="120"/>
      </w:pPr>
      <w:r>
        <w:rPr>
          <w:rStyle w:val="FootnoteReference"/>
        </w:rPr>
        <w:footnoteRef/>
      </w:r>
      <w:r>
        <w:t xml:space="preserve"> </w:t>
      </w:r>
      <w:r>
        <w:rPr>
          <w:rFonts w:cs="Times New Roman"/>
          <w:i/>
        </w:rPr>
        <w:t xml:space="preserve">See </w:t>
      </w:r>
      <w:r>
        <w:rPr>
          <w:rFonts w:cs="Times New Roman"/>
          <w:smallCaps/>
        </w:rPr>
        <w:t xml:space="preserve">Akşin, </w:t>
      </w:r>
      <w:r>
        <w:rPr>
          <w:rFonts w:cs="Times New Roman"/>
          <w:i/>
        </w:rPr>
        <w:t xml:space="preserve">supra </w:t>
      </w:r>
      <w:r>
        <w:rPr>
          <w:rFonts w:cs="Times New Roman"/>
        </w:rPr>
        <w:t>note 24, at 198</w:t>
      </w:r>
      <w:r w:rsidRPr="002128B7">
        <w:rPr>
          <w:rFonts w:cs="Times New Roman"/>
        </w:rPr>
        <w:t>.</w:t>
      </w:r>
    </w:p>
  </w:footnote>
  <w:footnote w:id="123">
    <w:p w:rsidR="000D6203" w:rsidRPr="00FC2118" w:rsidRDefault="000D6203" w:rsidP="00B133E5">
      <w:pPr>
        <w:pStyle w:val="FootnoteText"/>
        <w:widowControl w:val="0"/>
        <w:spacing w:after="120"/>
      </w:pPr>
      <w:r>
        <w:rPr>
          <w:rStyle w:val="FootnoteReference"/>
        </w:rPr>
        <w:footnoteRef/>
      </w:r>
      <w:r>
        <w:t xml:space="preserve"> The text of the 1921 Constitution is not available in English. </w:t>
      </w:r>
      <w:r>
        <w:rPr>
          <w:i/>
        </w:rPr>
        <w:t>See</w:t>
      </w:r>
      <w:r>
        <w:t xml:space="preserve"> </w:t>
      </w:r>
      <w:r w:rsidRPr="00FC2118">
        <w:t>Kemal Gözler</w:t>
      </w:r>
      <w:r>
        <w:t xml:space="preserve">, </w:t>
      </w:r>
      <w:r>
        <w:rPr>
          <w:i/>
        </w:rPr>
        <w:t>Turkish Constitutional Law Materials in English</w:t>
      </w:r>
      <w:r>
        <w:t xml:space="preserve">, </w:t>
      </w:r>
      <w:r w:rsidRPr="00FC2118">
        <w:t>http://www.anayasa.gen.tr/english.htm</w:t>
      </w:r>
      <w:r>
        <w:t xml:space="preserve"> (last visited Dec. 2, 2009). However, some selected articles have been summarized in English by Ö. F. Gençkaya. </w:t>
      </w:r>
      <w:r>
        <w:rPr>
          <w:i/>
        </w:rPr>
        <w:t xml:space="preserve">See </w:t>
      </w:r>
      <w:r>
        <w:t xml:space="preserve">Ö. F. Gençkaya, </w:t>
      </w:r>
      <w:r>
        <w:rPr>
          <w:i/>
        </w:rPr>
        <w:t>The 1921 Constitution (Selections)</w:t>
      </w:r>
      <w:r>
        <w:t xml:space="preserve">, </w:t>
      </w:r>
      <w:r w:rsidRPr="002F4ABC">
        <w:t>http://www.bilkent.edu.tr/~genckaya/1921C.html</w:t>
      </w:r>
      <w:r>
        <w:t xml:space="preserve"> (last visited Dec. 2, 2009).</w:t>
      </w:r>
    </w:p>
  </w:footnote>
  <w:footnote w:id="124">
    <w:p w:rsidR="000D6203" w:rsidRPr="002F4ABC" w:rsidRDefault="000D6203" w:rsidP="00B133E5">
      <w:pPr>
        <w:pStyle w:val="FootnoteText"/>
        <w:widowControl w:val="0"/>
        <w:spacing w:after="120"/>
      </w:pPr>
      <w:r>
        <w:rPr>
          <w:rStyle w:val="FootnoteReference"/>
        </w:rPr>
        <w:footnoteRef/>
      </w:r>
      <w:r>
        <w:t xml:space="preserve"> </w:t>
      </w:r>
      <w:r>
        <w:rPr>
          <w:i/>
        </w:rPr>
        <w:t>See</w:t>
      </w:r>
      <w:r>
        <w:t xml:space="preserve"> Gençkaya, </w:t>
      </w:r>
      <w:r>
        <w:rPr>
          <w:i/>
        </w:rPr>
        <w:t xml:space="preserve">supra </w:t>
      </w:r>
      <w:r>
        <w:t xml:space="preserve">note 123; Turkish Grand National Assembly Website, </w:t>
      </w:r>
      <w:r>
        <w:rPr>
          <w:i/>
        </w:rPr>
        <w:t xml:space="preserve">supra </w:t>
      </w:r>
      <w:r>
        <w:t>note 114.</w:t>
      </w:r>
    </w:p>
  </w:footnote>
  <w:footnote w:id="125">
    <w:p w:rsidR="000D6203" w:rsidRDefault="000D6203" w:rsidP="00B133E5">
      <w:pPr>
        <w:pStyle w:val="FootnoteText"/>
        <w:widowControl w:val="0"/>
        <w:spacing w:after="120"/>
      </w:pPr>
      <w:r>
        <w:rPr>
          <w:rStyle w:val="FootnoteReference"/>
        </w:rPr>
        <w:footnoteRef/>
      </w:r>
      <w:r>
        <w:t xml:space="preserve"> </w:t>
      </w:r>
      <w:r>
        <w:rPr>
          <w:rFonts w:cs="Times New Roman"/>
          <w:i/>
        </w:rPr>
        <w:t xml:space="preserve">See </w:t>
      </w:r>
      <w:r>
        <w:rPr>
          <w:rFonts w:cs="Times New Roman"/>
          <w:smallCaps/>
        </w:rPr>
        <w:t xml:space="preserve">Akşin, </w:t>
      </w:r>
      <w:r>
        <w:rPr>
          <w:rFonts w:cs="Times New Roman"/>
          <w:i/>
        </w:rPr>
        <w:t xml:space="preserve">supra </w:t>
      </w:r>
      <w:r>
        <w:rPr>
          <w:rFonts w:cs="Times New Roman"/>
        </w:rPr>
        <w:t>note 24, at 179, 190</w:t>
      </w:r>
      <w:r w:rsidRPr="002128B7">
        <w:rPr>
          <w:rFonts w:cs="Times New Roman"/>
        </w:rPr>
        <w:t>.</w:t>
      </w:r>
    </w:p>
  </w:footnote>
  <w:footnote w:id="126">
    <w:p w:rsidR="000D6203" w:rsidRPr="006A1285" w:rsidRDefault="000D6203" w:rsidP="00B133E5">
      <w:pPr>
        <w:pStyle w:val="FootnoteText"/>
        <w:widowControl w:val="0"/>
        <w:spacing w:after="120"/>
      </w:pPr>
      <w:r>
        <w:rPr>
          <w:rStyle w:val="FootnoteReference"/>
        </w:rPr>
        <w:footnoteRef/>
      </w:r>
      <w:r>
        <w:t xml:space="preserve"> </w:t>
      </w:r>
      <w:r>
        <w:rPr>
          <w:i/>
        </w:rPr>
        <w:t xml:space="preserve">See id. </w:t>
      </w:r>
      <w:r>
        <w:t>at 192, 198.</w:t>
      </w:r>
    </w:p>
  </w:footnote>
  <w:footnote w:id="127">
    <w:p w:rsidR="000D6203" w:rsidRPr="00A831A0" w:rsidRDefault="000D6203" w:rsidP="00B133E5">
      <w:pPr>
        <w:pStyle w:val="FootnoteText"/>
        <w:widowControl w:val="0"/>
        <w:spacing w:after="120"/>
      </w:pPr>
      <w:r>
        <w:rPr>
          <w:rStyle w:val="FootnoteReference"/>
        </w:rPr>
        <w:footnoteRef/>
      </w:r>
      <w:r>
        <w:t xml:space="preserve"> </w:t>
      </w:r>
      <w:r>
        <w:rPr>
          <w:i/>
        </w:rPr>
        <w:t xml:space="preserve">See id. </w:t>
      </w:r>
      <w:r>
        <w:t>at 198.</w:t>
      </w:r>
    </w:p>
  </w:footnote>
  <w:footnote w:id="128">
    <w:p w:rsidR="000D6203" w:rsidRPr="00A67306" w:rsidRDefault="000D6203" w:rsidP="00B133E5">
      <w:pPr>
        <w:pStyle w:val="FootnoteText"/>
        <w:widowControl w:val="0"/>
        <w:spacing w:after="120"/>
      </w:pPr>
      <w:r>
        <w:rPr>
          <w:rStyle w:val="FootnoteReference"/>
        </w:rPr>
        <w:footnoteRef/>
      </w:r>
      <w:r>
        <w:t xml:space="preserve"> </w:t>
      </w:r>
      <w:r>
        <w:rPr>
          <w:i/>
        </w:rPr>
        <w:t xml:space="preserve">Compare </w:t>
      </w:r>
      <w:r w:rsidRPr="009F5FB6">
        <w:rPr>
          <w:smallCaps/>
        </w:rPr>
        <w:t>Turk. Const.</w:t>
      </w:r>
      <w:r>
        <w:t xml:space="preserve"> art. 12 (1924), </w:t>
      </w:r>
      <w:r>
        <w:rPr>
          <w:i/>
        </w:rPr>
        <w:t xml:space="preserve">translated in </w:t>
      </w:r>
      <w:r>
        <w:t xml:space="preserve">Earle, </w:t>
      </w:r>
      <w:r>
        <w:rPr>
          <w:i/>
        </w:rPr>
        <w:t xml:space="preserve">supra </w:t>
      </w:r>
      <w:r>
        <w:t xml:space="preserve">note 27, at 90, </w:t>
      </w:r>
      <w:r>
        <w:rPr>
          <w:i/>
        </w:rPr>
        <w:t xml:space="preserve">with </w:t>
      </w:r>
      <w:r>
        <w:rPr>
          <w:rFonts w:cs="Times New Roman"/>
          <w:smallCaps/>
        </w:rPr>
        <w:t>Ottoman Const.</w:t>
      </w:r>
      <w:r>
        <w:rPr>
          <w:rFonts w:cs="Times New Roman"/>
        </w:rPr>
        <w:t xml:space="preserve"> arts. 18 &amp; 68 (1876), </w:t>
      </w:r>
      <w:r>
        <w:rPr>
          <w:rFonts w:cs="Times New Roman"/>
          <w:i/>
        </w:rPr>
        <w:t xml:space="preserve">available at </w:t>
      </w:r>
      <w:r w:rsidRPr="00B01B12">
        <w:rPr>
          <w:rFonts w:cs="Times New Roman"/>
        </w:rPr>
        <w:t>http://www.anayasa.gen.tr/1876constitution.htm.</w:t>
      </w:r>
    </w:p>
  </w:footnote>
  <w:footnote w:id="129">
    <w:p w:rsidR="000D6203" w:rsidRPr="00A67306" w:rsidRDefault="000D6203" w:rsidP="00B133E5">
      <w:pPr>
        <w:pStyle w:val="FootnoteText"/>
        <w:widowControl w:val="0"/>
        <w:spacing w:after="120"/>
      </w:pPr>
      <w:r>
        <w:rPr>
          <w:rStyle w:val="FootnoteReference"/>
        </w:rPr>
        <w:footnoteRef/>
      </w:r>
      <w:r>
        <w:t xml:space="preserve"> </w:t>
      </w:r>
      <w:r>
        <w:rPr>
          <w:i/>
        </w:rPr>
        <w:t xml:space="preserve">See </w:t>
      </w:r>
      <w:r w:rsidRPr="009F5FB6">
        <w:rPr>
          <w:smallCaps/>
        </w:rPr>
        <w:t>Turk. Const.</w:t>
      </w:r>
      <w:r>
        <w:t xml:space="preserve"> arts. 31 &amp; 32 (1924), </w:t>
      </w:r>
      <w:r>
        <w:rPr>
          <w:i/>
        </w:rPr>
        <w:t xml:space="preserve">translated in </w:t>
      </w:r>
      <w:r>
        <w:t xml:space="preserve">Earle, </w:t>
      </w:r>
      <w:r>
        <w:rPr>
          <w:i/>
        </w:rPr>
        <w:t xml:space="preserve">supra </w:t>
      </w:r>
      <w:r>
        <w:t>note 27, at 92.</w:t>
      </w:r>
    </w:p>
  </w:footnote>
  <w:footnote w:id="130">
    <w:p w:rsidR="000D6203" w:rsidRPr="00527E01" w:rsidRDefault="000D6203" w:rsidP="00B133E5">
      <w:pPr>
        <w:pStyle w:val="FootnoteText"/>
        <w:widowControl w:val="0"/>
        <w:spacing w:after="120"/>
      </w:pPr>
      <w:r>
        <w:rPr>
          <w:rStyle w:val="FootnoteReference"/>
        </w:rPr>
        <w:footnoteRef/>
      </w:r>
      <w:r>
        <w:t xml:space="preserve"> </w:t>
      </w:r>
      <w:r>
        <w:rPr>
          <w:i/>
        </w:rPr>
        <w:t xml:space="preserve">See id. </w:t>
      </w:r>
      <w:r>
        <w:t>art. 70, at 96.</w:t>
      </w:r>
    </w:p>
  </w:footnote>
  <w:footnote w:id="131">
    <w:p w:rsidR="000D6203" w:rsidRDefault="000D6203" w:rsidP="00B133E5">
      <w:pPr>
        <w:pStyle w:val="FootnoteText"/>
        <w:widowControl w:val="0"/>
        <w:spacing w:after="120"/>
      </w:pPr>
      <w:r>
        <w:rPr>
          <w:rStyle w:val="FootnoteReference"/>
        </w:rPr>
        <w:footnoteRef/>
      </w:r>
      <w:r>
        <w:t xml:space="preserve"> </w:t>
      </w:r>
      <w:r>
        <w:rPr>
          <w:i/>
        </w:rPr>
        <w:t xml:space="preserve">See id. </w:t>
      </w:r>
      <w:r>
        <w:t>art. 79, at 97.</w:t>
      </w:r>
    </w:p>
  </w:footnote>
  <w:footnote w:id="132">
    <w:p w:rsidR="000D6203" w:rsidRDefault="000D6203" w:rsidP="00B133E5">
      <w:pPr>
        <w:pStyle w:val="FootnoteText"/>
        <w:widowControl w:val="0"/>
        <w:spacing w:after="120"/>
      </w:pPr>
      <w:r>
        <w:rPr>
          <w:rStyle w:val="FootnoteReference"/>
        </w:rPr>
        <w:footnoteRef/>
      </w:r>
      <w:r>
        <w:t xml:space="preserve"> </w:t>
      </w:r>
      <w:r>
        <w:rPr>
          <w:i/>
        </w:rPr>
        <w:t xml:space="preserve">See id. </w:t>
      </w:r>
      <w:r>
        <w:t>art. 88, at 98.</w:t>
      </w:r>
    </w:p>
  </w:footnote>
  <w:footnote w:id="133">
    <w:p w:rsidR="000D6203" w:rsidRPr="00DC311B" w:rsidRDefault="000D6203" w:rsidP="00B133E5">
      <w:pPr>
        <w:pStyle w:val="FootnoteText"/>
        <w:widowControl w:val="0"/>
        <w:spacing w:after="120"/>
      </w:pPr>
      <w:r>
        <w:rPr>
          <w:rStyle w:val="FootnoteReference"/>
        </w:rPr>
        <w:footnoteRef/>
      </w:r>
      <w:r>
        <w:t xml:space="preserve"> </w:t>
      </w:r>
      <w:r>
        <w:rPr>
          <w:i/>
        </w:rPr>
        <w:t xml:space="preserve">See </w:t>
      </w:r>
      <w:r>
        <w:rPr>
          <w:rFonts w:cs="Times New Roman"/>
          <w:smallCaps/>
        </w:rPr>
        <w:t xml:space="preserve">Akşin, </w:t>
      </w:r>
      <w:r>
        <w:rPr>
          <w:rFonts w:cs="Times New Roman"/>
          <w:i/>
        </w:rPr>
        <w:t xml:space="preserve">supra </w:t>
      </w:r>
      <w:r>
        <w:rPr>
          <w:rFonts w:cs="Times New Roman"/>
        </w:rPr>
        <w:t xml:space="preserve">note 24, at 182, 184; Earle, </w:t>
      </w:r>
      <w:r>
        <w:rPr>
          <w:rFonts w:cs="Times New Roman"/>
          <w:i/>
        </w:rPr>
        <w:t xml:space="preserve">supra </w:t>
      </w:r>
      <w:r>
        <w:rPr>
          <w:rFonts w:cs="Times New Roman"/>
        </w:rPr>
        <w:t>note 27, at 81-84.</w:t>
      </w:r>
    </w:p>
  </w:footnote>
  <w:footnote w:id="134">
    <w:p w:rsidR="000D6203" w:rsidRPr="00221B0E" w:rsidRDefault="000D6203" w:rsidP="00B133E5">
      <w:pPr>
        <w:pStyle w:val="FootnoteText"/>
        <w:widowControl w:val="0"/>
        <w:spacing w:after="120"/>
      </w:pPr>
      <w:r>
        <w:rPr>
          <w:rStyle w:val="FootnoteReference"/>
        </w:rPr>
        <w:footnoteRef/>
      </w:r>
      <w:r>
        <w:t xml:space="preserve"> Treaty of Lausanne, art. 38, July 24, 1923, </w:t>
      </w:r>
      <w:r>
        <w:rPr>
          <w:i/>
        </w:rPr>
        <w:t xml:space="preserve">available at </w:t>
      </w:r>
      <w:r w:rsidRPr="00221B0E">
        <w:t>http://wwi.lib.byu.</w:t>
      </w:r>
      <w:r>
        <w:t>edu/index.php/Treaty_of_Lausanne.</w:t>
      </w:r>
    </w:p>
  </w:footnote>
  <w:footnote w:id="135">
    <w:p w:rsidR="000D6203" w:rsidRPr="00221B0E" w:rsidRDefault="000D6203" w:rsidP="00B133E5">
      <w:pPr>
        <w:pStyle w:val="FootnoteText"/>
        <w:widowControl w:val="0"/>
        <w:spacing w:after="120"/>
      </w:pPr>
      <w:r>
        <w:rPr>
          <w:rStyle w:val="FootnoteReference"/>
        </w:rPr>
        <w:footnoteRef/>
      </w:r>
      <w:r>
        <w:t xml:space="preserve"> </w:t>
      </w:r>
      <w:r>
        <w:rPr>
          <w:i/>
        </w:rPr>
        <w:t xml:space="preserve">See id. </w:t>
      </w:r>
      <w:r>
        <w:t xml:space="preserve">arts. 14, 38-45. </w:t>
      </w:r>
    </w:p>
  </w:footnote>
  <w:footnote w:id="136">
    <w:p w:rsidR="000D6203" w:rsidRDefault="000D6203" w:rsidP="00B133E5">
      <w:pPr>
        <w:pStyle w:val="FootnoteText"/>
        <w:widowControl w:val="0"/>
        <w:spacing w:after="120"/>
      </w:pPr>
      <w:r>
        <w:rPr>
          <w:rStyle w:val="FootnoteReference"/>
        </w:rPr>
        <w:footnoteRef/>
      </w:r>
      <w:r>
        <w:t xml:space="preserve"> </w:t>
      </w:r>
      <w:r>
        <w:rPr>
          <w:i/>
        </w:rPr>
        <w:t xml:space="preserve">See </w:t>
      </w:r>
      <w:r>
        <w:rPr>
          <w:rFonts w:cs="Times New Roman"/>
          <w:smallCaps/>
        </w:rPr>
        <w:t xml:space="preserve">Akşin, </w:t>
      </w:r>
      <w:r>
        <w:rPr>
          <w:rFonts w:cs="Times New Roman"/>
          <w:i/>
        </w:rPr>
        <w:t xml:space="preserve">supra </w:t>
      </w:r>
      <w:r>
        <w:rPr>
          <w:rFonts w:cs="Times New Roman"/>
        </w:rPr>
        <w:t xml:space="preserve">note 24, at 320; </w:t>
      </w:r>
      <w:r w:rsidRPr="002128B7">
        <w:rPr>
          <w:rFonts w:cs="Times New Roman"/>
        </w:rPr>
        <w:t xml:space="preserve">Dicle Kogacioglu, </w:t>
      </w:r>
      <w:r w:rsidRPr="002128B7">
        <w:rPr>
          <w:rFonts w:cs="Times New Roman"/>
          <w:i/>
        </w:rPr>
        <w:t>Progress, Unity, and Democracy: Dissolving Political Parties in Turkey</w:t>
      </w:r>
      <w:r w:rsidRPr="002128B7">
        <w:rPr>
          <w:rFonts w:cs="Times New Roman"/>
        </w:rPr>
        <w:t xml:space="preserve">, 38 </w:t>
      </w:r>
      <w:r w:rsidRPr="002128B7">
        <w:rPr>
          <w:rFonts w:cs="Times New Roman"/>
          <w:smallCaps/>
        </w:rPr>
        <w:t>Law &amp; Soc'y Rev.</w:t>
      </w:r>
      <w:r>
        <w:rPr>
          <w:rFonts w:cs="Times New Roman"/>
        </w:rPr>
        <w:t xml:space="preserve"> 433, 444-45</w:t>
      </w:r>
      <w:r w:rsidRPr="002128B7">
        <w:rPr>
          <w:rFonts w:cs="Times New Roman"/>
        </w:rPr>
        <w:t xml:space="preserve"> (2004).</w:t>
      </w:r>
    </w:p>
  </w:footnote>
  <w:footnote w:id="137">
    <w:p w:rsidR="000D6203" w:rsidRPr="00E17D17" w:rsidRDefault="000D6203" w:rsidP="00B133E5">
      <w:pPr>
        <w:pStyle w:val="FootnoteText"/>
        <w:widowControl w:val="0"/>
        <w:spacing w:after="120"/>
      </w:pPr>
      <w:r>
        <w:rPr>
          <w:rStyle w:val="FootnoteReference"/>
        </w:rPr>
        <w:footnoteRef/>
      </w:r>
      <w:r>
        <w:t xml:space="preserve"> </w:t>
      </w:r>
      <w:r>
        <w:rPr>
          <w:i/>
        </w:rPr>
        <w:t xml:space="preserve">See </w:t>
      </w:r>
      <w:r w:rsidRPr="009F5FB6">
        <w:rPr>
          <w:smallCaps/>
        </w:rPr>
        <w:t>Turk. Const.</w:t>
      </w:r>
      <w:r>
        <w:t xml:space="preserve"> art. 2 (1924), </w:t>
      </w:r>
      <w:r>
        <w:rPr>
          <w:i/>
        </w:rPr>
        <w:t xml:space="preserve">translated in </w:t>
      </w:r>
      <w:r>
        <w:t xml:space="preserve">Earle, </w:t>
      </w:r>
      <w:r>
        <w:rPr>
          <w:i/>
        </w:rPr>
        <w:t xml:space="preserve">supra </w:t>
      </w:r>
      <w:r>
        <w:t>note 27, at 92.</w:t>
      </w:r>
    </w:p>
  </w:footnote>
  <w:footnote w:id="138">
    <w:p w:rsidR="000D6203" w:rsidRPr="00E17D17" w:rsidRDefault="000D6203" w:rsidP="00B133E5">
      <w:pPr>
        <w:pStyle w:val="FootnoteText"/>
        <w:widowControl w:val="0"/>
        <w:spacing w:after="120"/>
      </w:pPr>
      <w:r>
        <w:rPr>
          <w:rStyle w:val="FootnoteReference"/>
        </w:rPr>
        <w:footnoteRef/>
      </w:r>
      <w:r>
        <w:t xml:space="preserve"> </w:t>
      </w:r>
      <w:r>
        <w:rPr>
          <w:i/>
        </w:rPr>
        <w:t xml:space="preserve">See </w:t>
      </w:r>
      <w:r>
        <w:t xml:space="preserve">Dodd, </w:t>
      </w:r>
      <w:r>
        <w:rPr>
          <w:i/>
        </w:rPr>
        <w:t xml:space="preserve">supra </w:t>
      </w:r>
      <w:r>
        <w:t xml:space="preserve">note 68 and accompanying text; </w:t>
      </w:r>
      <w:r w:rsidRPr="00E17D17">
        <w:rPr>
          <w:iCs/>
        </w:rPr>
        <w:t>Bozkurt G</w:t>
      </w:r>
      <w:r w:rsidRPr="00E17D17">
        <w:rPr>
          <w:rFonts w:hint="eastAsia"/>
          <w:iCs/>
        </w:rPr>
        <w:t>ü</w:t>
      </w:r>
      <w:r w:rsidRPr="00E17D17">
        <w:rPr>
          <w:iCs/>
        </w:rPr>
        <w:t>ven</w:t>
      </w:r>
      <w:r w:rsidRPr="00E17D17">
        <w:rPr>
          <w:rFonts w:hint="eastAsia"/>
          <w:iCs/>
        </w:rPr>
        <w:t>ç</w:t>
      </w:r>
      <w:r>
        <w:rPr>
          <w:iCs/>
        </w:rPr>
        <w:t xml:space="preserve">, </w:t>
      </w:r>
      <w:r>
        <w:rPr>
          <w:i/>
          <w:iCs/>
        </w:rPr>
        <w:t>Secular Trends and Turkish Identity</w:t>
      </w:r>
      <w:r>
        <w:rPr>
          <w:iCs/>
        </w:rPr>
        <w:t xml:space="preserve">, 2 </w:t>
      </w:r>
      <w:r>
        <w:rPr>
          <w:iCs/>
          <w:smallCaps/>
        </w:rPr>
        <w:t>Perceptions J. In</w:t>
      </w:r>
      <w:r w:rsidRPr="00E17D17">
        <w:rPr>
          <w:iCs/>
          <w:smallCaps/>
        </w:rPr>
        <w:t>t'l Aff.</w:t>
      </w:r>
      <w:r>
        <w:rPr>
          <w:iCs/>
        </w:rPr>
        <w:t xml:space="preserve"> Dec.1997-Feb.1998, tbl. 1 at 6, </w:t>
      </w:r>
      <w:r>
        <w:rPr>
          <w:i/>
          <w:iCs/>
        </w:rPr>
        <w:t xml:space="preserve">available at </w:t>
      </w:r>
      <w:r w:rsidRPr="00E17D17">
        <w:rPr>
          <w:iCs/>
        </w:rPr>
        <w:t>http://www.sam.gov.tr/perceptions/Volume2/December1997-February1998/guvenc.PDF</w:t>
      </w:r>
      <w:r>
        <w:rPr>
          <w:iCs/>
        </w:rPr>
        <w:t>.</w:t>
      </w:r>
    </w:p>
  </w:footnote>
  <w:footnote w:id="139">
    <w:p w:rsidR="000D6203" w:rsidRDefault="000D6203" w:rsidP="00B133E5">
      <w:pPr>
        <w:pStyle w:val="FootnoteText"/>
        <w:widowControl w:val="0"/>
        <w:spacing w:after="120"/>
      </w:pPr>
      <w:r>
        <w:rPr>
          <w:rStyle w:val="FootnoteReference"/>
        </w:rPr>
        <w:footnoteRef/>
      </w:r>
      <w:r>
        <w:t xml:space="preserve"> Turkish Grand National Assembly Website, </w:t>
      </w:r>
      <w:r>
        <w:rPr>
          <w:i/>
        </w:rPr>
        <w:t xml:space="preserve">supra </w:t>
      </w:r>
      <w:r>
        <w:t>note 114.</w:t>
      </w:r>
    </w:p>
  </w:footnote>
  <w:footnote w:id="140">
    <w:p w:rsidR="000D6203" w:rsidRPr="00CC360B" w:rsidRDefault="000D6203" w:rsidP="00B133E5">
      <w:pPr>
        <w:pStyle w:val="FootnoteText"/>
        <w:widowControl w:val="0"/>
        <w:spacing w:after="120"/>
      </w:pPr>
      <w:r>
        <w:rPr>
          <w:rStyle w:val="FootnoteReference"/>
        </w:rPr>
        <w:footnoteRef/>
      </w:r>
      <w:r>
        <w:t xml:space="preserve"> </w:t>
      </w:r>
      <w:r>
        <w:rPr>
          <w:i/>
        </w:rPr>
        <w:t xml:space="preserve">See </w:t>
      </w:r>
      <w:r>
        <w:t xml:space="preserve">Ismet Giritli, </w:t>
      </w:r>
      <w:r>
        <w:rPr>
          <w:i/>
        </w:rPr>
        <w:t>Some Aspects of the New Turkish Constitution</w:t>
      </w:r>
      <w:r>
        <w:t xml:space="preserve">, 16 </w:t>
      </w:r>
      <w:r w:rsidRPr="00CC360B">
        <w:rPr>
          <w:smallCaps/>
        </w:rPr>
        <w:t>Mid. East J.</w:t>
      </w:r>
      <w:r>
        <w:t xml:space="preserve"> 1, 5-6 (1962).</w:t>
      </w:r>
    </w:p>
  </w:footnote>
  <w:footnote w:id="141">
    <w:p w:rsidR="000D6203" w:rsidRDefault="000D6203" w:rsidP="00B133E5">
      <w:pPr>
        <w:pStyle w:val="FootnoteText"/>
        <w:widowControl w:val="0"/>
        <w:spacing w:after="120"/>
      </w:pPr>
      <w:r>
        <w:rPr>
          <w:rStyle w:val="FootnoteReference"/>
        </w:rPr>
        <w:footnoteRef/>
      </w:r>
      <w:r>
        <w:t xml:space="preserve"> </w:t>
      </w:r>
      <w:r>
        <w:rPr>
          <w:rFonts w:cs="Times New Roman"/>
          <w:i/>
        </w:rPr>
        <w:t xml:space="preserve">See </w:t>
      </w:r>
      <w:r w:rsidRPr="009F5FB6">
        <w:rPr>
          <w:rFonts w:cs="Times New Roman"/>
          <w:smallCaps/>
        </w:rPr>
        <w:t>Turk. Const.</w:t>
      </w:r>
      <w:r>
        <w:rPr>
          <w:rFonts w:cs="Times New Roman"/>
        </w:rPr>
        <w:t xml:space="preserve"> section three, arts. 40-49 (1961), </w:t>
      </w:r>
      <w:r>
        <w:rPr>
          <w:rFonts w:cs="Times New Roman"/>
          <w:i/>
        </w:rPr>
        <w:t xml:space="preserve">translated in </w:t>
      </w:r>
      <w:r>
        <w:rPr>
          <w:rFonts w:cs="Times New Roman"/>
        </w:rPr>
        <w:t xml:space="preserve">Balkan, Uysal &amp; </w:t>
      </w:r>
      <w:r w:rsidRPr="00453822">
        <w:rPr>
          <w:rFonts w:cs="Times New Roman"/>
        </w:rPr>
        <w:t>Karpat</w:t>
      </w:r>
      <w:r>
        <w:rPr>
          <w:rFonts w:cs="Times New Roman"/>
        </w:rPr>
        <w:t xml:space="preserve">, </w:t>
      </w:r>
      <w:r>
        <w:rPr>
          <w:rFonts w:cs="Times New Roman"/>
          <w:i/>
        </w:rPr>
        <w:t xml:space="preserve">supra </w:t>
      </w:r>
      <w:r>
        <w:rPr>
          <w:rFonts w:cs="Times New Roman"/>
        </w:rPr>
        <w:t>note 91, at 218-19.</w:t>
      </w:r>
    </w:p>
  </w:footnote>
  <w:footnote w:id="142">
    <w:p w:rsidR="000D6203" w:rsidRPr="003A5772" w:rsidRDefault="000D6203" w:rsidP="00B133E5">
      <w:pPr>
        <w:pStyle w:val="FootnoteText"/>
        <w:widowControl w:val="0"/>
        <w:spacing w:after="120"/>
      </w:pPr>
      <w:r>
        <w:rPr>
          <w:rStyle w:val="FootnoteReference"/>
        </w:rPr>
        <w:footnoteRef/>
      </w:r>
      <w:r>
        <w:t xml:space="preserve"> </w:t>
      </w:r>
      <w:r>
        <w:rPr>
          <w:i/>
        </w:rPr>
        <w:t xml:space="preserve">See id. </w:t>
      </w:r>
      <w:r>
        <w:t>art. 131</w:t>
      </w:r>
      <w:r>
        <w:rPr>
          <w:rFonts w:cs="Times New Roman"/>
        </w:rPr>
        <w:t>, at 230.</w:t>
      </w:r>
    </w:p>
  </w:footnote>
  <w:footnote w:id="143">
    <w:p w:rsidR="000D6203" w:rsidRPr="003A5772" w:rsidRDefault="000D6203" w:rsidP="00B133E5">
      <w:pPr>
        <w:pStyle w:val="FootnoteText"/>
        <w:widowControl w:val="0"/>
        <w:spacing w:after="120"/>
      </w:pPr>
      <w:r>
        <w:rPr>
          <w:rStyle w:val="FootnoteReference"/>
        </w:rPr>
        <w:footnoteRef/>
      </w:r>
      <w:r>
        <w:t xml:space="preserve"> </w:t>
      </w:r>
      <w:r>
        <w:rPr>
          <w:i/>
        </w:rPr>
        <w:t xml:space="preserve">See id. </w:t>
      </w:r>
      <w:r>
        <w:t>part two, section one, at 216.</w:t>
      </w:r>
    </w:p>
  </w:footnote>
  <w:footnote w:id="144">
    <w:p w:rsidR="000D6203" w:rsidRDefault="000D6203" w:rsidP="00B133E5">
      <w:pPr>
        <w:pStyle w:val="FootnoteText"/>
        <w:widowControl w:val="0"/>
        <w:spacing w:after="120"/>
      </w:pPr>
      <w:r>
        <w:rPr>
          <w:rStyle w:val="FootnoteReference"/>
        </w:rPr>
        <w:footnoteRef/>
      </w:r>
      <w:r>
        <w:t xml:space="preserve"> </w:t>
      </w:r>
      <w:r>
        <w:rPr>
          <w:i/>
        </w:rPr>
        <w:t xml:space="preserve">See id. </w:t>
      </w:r>
      <w:r>
        <w:t>art. 10, at 216.</w:t>
      </w:r>
    </w:p>
  </w:footnote>
  <w:footnote w:id="145">
    <w:p w:rsidR="000D6203" w:rsidRDefault="000D6203" w:rsidP="00B133E5">
      <w:pPr>
        <w:pStyle w:val="FootnoteText"/>
        <w:widowControl w:val="0"/>
        <w:spacing w:after="120"/>
      </w:pPr>
      <w:r>
        <w:rPr>
          <w:rStyle w:val="FootnoteReference"/>
        </w:rPr>
        <w:footnoteRef/>
      </w:r>
      <w:r>
        <w:t xml:space="preserve"> </w:t>
      </w:r>
      <w:r>
        <w:rPr>
          <w:i/>
        </w:rPr>
        <w:t xml:space="preserve">See id. </w:t>
      </w:r>
      <w:r>
        <w:t>art. 11, at 216.</w:t>
      </w:r>
    </w:p>
  </w:footnote>
  <w:footnote w:id="146">
    <w:p w:rsidR="000D6203" w:rsidRDefault="000D6203" w:rsidP="00B133E5">
      <w:pPr>
        <w:pStyle w:val="FootnoteText"/>
        <w:widowControl w:val="0"/>
        <w:spacing w:after="120"/>
      </w:pPr>
      <w:r>
        <w:rPr>
          <w:rStyle w:val="FootnoteReference"/>
        </w:rPr>
        <w:footnoteRef/>
      </w:r>
      <w:r>
        <w:t xml:space="preserve"> </w:t>
      </w:r>
      <w:r>
        <w:rPr>
          <w:i/>
        </w:rPr>
        <w:t xml:space="preserve">See id. </w:t>
      </w:r>
      <w:r>
        <w:t>art. 12, at 216.</w:t>
      </w:r>
    </w:p>
  </w:footnote>
  <w:footnote w:id="147">
    <w:p w:rsidR="000D6203" w:rsidRPr="00D43962" w:rsidRDefault="000D6203" w:rsidP="00B133E5">
      <w:pPr>
        <w:pStyle w:val="FootnoteText"/>
        <w:widowControl w:val="0"/>
        <w:spacing w:after="120"/>
      </w:pPr>
      <w:r>
        <w:rPr>
          <w:rStyle w:val="FootnoteReference"/>
        </w:rPr>
        <w:footnoteRef/>
      </w:r>
      <w:r>
        <w:t xml:space="preserve"> </w:t>
      </w:r>
      <w:r>
        <w:rPr>
          <w:i/>
        </w:rPr>
        <w:t>See</w:t>
      </w:r>
      <w:r>
        <w:t xml:space="preserve"> Giritli, </w:t>
      </w:r>
      <w:r>
        <w:rPr>
          <w:i/>
        </w:rPr>
        <w:t xml:space="preserve">supra </w:t>
      </w:r>
      <w:r>
        <w:t xml:space="preserve">note 140, at 13 (citing Nuri Eren, </w:t>
      </w:r>
      <w:r>
        <w:rPr>
          <w:i/>
        </w:rPr>
        <w:t>Turkey: Problems, Politics, Parties</w:t>
      </w:r>
      <w:r>
        <w:t xml:space="preserve">, </w:t>
      </w:r>
      <w:r w:rsidRPr="00CC360B">
        <w:rPr>
          <w:smallCaps/>
        </w:rPr>
        <w:t>Foreign Affairs</w:t>
      </w:r>
      <w:r>
        <w:t xml:space="preserve">, Oct. 1961, at 95, 95-104). The counterargument recognized that the constitution limited Turkey's aspirational social and economic goals to what was within its means. </w:t>
      </w:r>
      <w:r>
        <w:rPr>
          <w:i/>
        </w:rPr>
        <w:t>Id. See also</w:t>
      </w:r>
      <w:r>
        <w:t xml:space="preserve"> </w:t>
      </w:r>
      <w:r w:rsidRPr="009F5FB6">
        <w:rPr>
          <w:rFonts w:cs="Times New Roman"/>
          <w:smallCaps/>
        </w:rPr>
        <w:t>Turk. Const.</w:t>
      </w:r>
      <w:r>
        <w:rPr>
          <w:rFonts w:cs="Times New Roman"/>
        </w:rPr>
        <w:t xml:space="preserve"> art. 53 (1961), </w:t>
      </w:r>
      <w:r>
        <w:rPr>
          <w:rFonts w:cs="Times New Roman"/>
          <w:i/>
        </w:rPr>
        <w:t xml:space="preserve">translated in </w:t>
      </w:r>
      <w:r>
        <w:rPr>
          <w:rFonts w:cs="Times New Roman"/>
        </w:rPr>
        <w:t xml:space="preserve">Balkan, Uysal &amp; </w:t>
      </w:r>
      <w:r w:rsidRPr="00453822">
        <w:rPr>
          <w:rFonts w:cs="Times New Roman"/>
        </w:rPr>
        <w:t>Karpat</w:t>
      </w:r>
      <w:r>
        <w:rPr>
          <w:rFonts w:cs="Times New Roman"/>
        </w:rPr>
        <w:t xml:space="preserve">, </w:t>
      </w:r>
      <w:r>
        <w:rPr>
          <w:rFonts w:cs="Times New Roman"/>
          <w:i/>
        </w:rPr>
        <w:t xml:space="preserve">supra </w:t>
      </w:r>
      <w:r>
        <w:rPr>
          <w:rFonts w:cs="Times New Roman"/>
        </w:rPr>
        <w:t>note 91, at 220.</w:t>
      </w:r>
    </w:p>
  </w:footnote>
  <w:footnote w:id="148">
    <w:p w:rsidR="000D6203" w:rsidRDefault="000D6203" w:rsidP="00B133E5">
      <w:pPr>
        <w:pStyle w:val="FootnoteText"/>
        <w:widowControl w:val="0"/>
        <w:spacing w:after="120"/>
      </w:pPr>
      <w:r>
        <w:rPr>
          <w:rStyle w:val="FootnoteReference"/>
        </w:rPr>
        <w:footnoteRef/>
      </w:r>
      <w:r>
        <w:t xml:space="preserve"> </w:t>
      </w:r>
      <w:r>
        <w:rPr>
          <w:i/>
        </w:rPr>
        <w:t xml:space="preserve">See </w:t>
      </w:r>
      <w:r w:rsidRPr="009F5FB6">
        <w:rPr>
          <w:rFonts w:cs="Times New Roman"/>
          <w:smallCaps/>
        </w:rPr>
        <w:t>Turk. Const.</w:t>
      </w:r>
      <w:r>
        <w:rPr>
          <w:rFonts w:cs="Times New Roman"/>
        </w:rPr>
        <w:t xml:space="preserve"> arts. 145-150 (1961), </w:t>
      </w:r>
      <w:r>
        <w:rPr>
          <w:rFonts w:cs="Times New Roman"/>
          <w:i/>
        </w:rPr>
        <w:t xml:space="preserve">translated in </w:t>
      </w:r>
      <w:r>
        <w:rPr>
          <w:rFonts w:cs="Times New Roman"/>
        </w:rPr>
        <w:t xml:space="preserve">Balkan, Uysal &amp; </w:t>
      </w:r>
      <w:r w:rsidRPr="00453822">
        <w:rPr>
          <w:rFonts w:cs="Times New Roman"/>
        </w:rPr>
        <w:t>Karpat</w:t>
      </w:r>
      <w:r>
        <w:rPr>
          <w:rFonts w:cs="Times New Roman"/>
        </w:rPr>
        <w:t xml:space="preserve">, </w:t>
      </w:r>
      <w:r>
        <w:rPr>
          <w:rFonts w:cs="Times New Roman"/>
          <w:i/>
        </w:rPr>
        <w:t xml:space="preserve">supra </w:t>
      </w:r>
      <w:r>
        <w:rPr>
          <w:rFonts w:cs="Times New Roman"/>
        </w:rPr>
        <w:t xml:space="preserve">note 91, </w:t>
      </w:r>
      <w:r>
        <w:t>232-33.</w:t>
      </w:r>
    </w:p>
  </w:footnote>
  <w:footnote w:id="149">
    <w:p w:rsidR="000D6203" w:rsidRDefault="000D6203" w:rsidP="00B133E5">
      <w:pPr>
        <w:pStyle w:val="FootnoteText"/>
        <w:widowControl w:val="0"/>
        <w:spacing w:after="120"/>
      </w:pPr>
      <w:r>
        <w:rPr>
          <w:rStyle w:val="FootnoteReference"/>
        </w:rPr>
        <w:footnoteRef/>
      </w:r>
      <w:r>
        <w:t xml:space="preserve"> </w:t>
      </w:r>
      <w:r>
        <w:rPr>
          <w:i/>
        </w:rPr>
        <w:t xml:space="preserve">See id. </w:t>
      </w:r>
      <w:r>
        <w:t>art. 56, at 220.</w:t>
      </w:r>
    </w:p>
  </w:footnote>
  <w:footnote w:id="150">
    <w:p w:rsidR="000D6203" w:rsidRPr="000E6655"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Pr>
          <w:rFonts w:cs="Times New Roman"/>
          <w:i/>
        </w:rPr>
        <w:t xml:space="preserve">See </w:t>
      </w:r>
      <w:r w:rsidRPr="009F5FB6">
        <w:rPr>
          <w:rFonts w:cs="Times New Roman"/>
          <w:smallCaps/>
        </w:rPr>
        <w:t>Turk. Const.</w:t>
      </w:r>
      <w:r w:rsidRPr="002128B7">
        <w:rPr>
          <w:rFonts w:cs="Times New Roman"/>
        </w:rPr>
        <w:t xml:space="preserve"> art. 24</w:t>
      </w:r>
      <w:r>
        <w:rPr>
          <w:rFonts w:cs="Times New Roman"/>
        </w:rPr>
        <w:t xml:space="preserve">, 68-69, </w:t>
      </w:r>
      <w:r>
        <w:rPr>
          <w:rFonts w:cs="Times New Roman"/>
          <w:i/>
        </w:rPr>
        <w:t xml:space="preserve">available at </w:t>
      </w:r>
      <w:r w:rsidRPr="000E6655">
        <w:rPr>
          <w:rFonts w:cs="Times New Roman"/>
        </w:rPr>
        <w:t>http://www.anayasa.gov.tr/images/loaded/pdf_dosyalari/THE_CONSTITUTION_OF_THE_REPUBLIC_OF_TURKEY.pdf</w:t>
      </w:r>
      <w:r w:rsidRPr="00FE18AC">
        <w:rPr>
          <w:rFonts w:cs="Times New Roman"/>
        </w:rPr>
        <w:t>.</w:t>
      </w:r>
      <w:r>
        <w:rPr>
          <w:rFonts w:cs="Times New Roman"/>
        </w:rPr>
        <w:t xml:space="preserve"> The current version also mandates that </w:t>
      </w:r>
      <w:r w:rsidRPr="000E6655">
        <w:rPr>
          <w:rFonts w:cs="Times New Roman"/>
        </w:rPr>
        <w:t>"</w:t>
      </w:r>
      <w:r>
        <w:rPr>
          <w:rFonts w:cs="Times New Roman"/>
        </w:rPr>
        <w:t>[political parties]</w:t>
      </w:r>
      <w:r w:rsidRPr="000E6655">
        <w:rPr>
          <w:rFonts w:cs="Times New Roman"/>
        </w:rPr>
        <w:t xml:space="preserve"> shall not aim to protect or establish class or group dictatorship or dictatorship of any kind, nor shall they incite citizens to crime."</w:t>
      </w:r>
      <w:r>
        <w:rPr>
          <w:rFonts w:cs="Times New Roman"/>
        </w:rPr>
        <w:t xml:space="preserve"> </w:t>
      </w:r>
      <w:r>
        <w:rPr>
          <w:rFonts w:cs="Times New Roman"/>
          <w:i/>
        </w:rPr>
        <w:t xml:space="preserve">Id. </w:t>
      </w:r>
      <w:r>
        <w:rPr>
          <w:rFonts w:cs="Times New Roman"/>
        </w:rPr>
        <w:t>art. 68.</w:t>
      </w:r>
    </w:p>
  </w:footnote>
  <w:footnote w:id="151">
    <w:p w:rsidR="000D6203" w:rsidRPr="000A2E16" w:rsidRDefault="000D6203" w:rsidP="00B133E5">
      <w:pPr>
        <w:widowControl w:val="0"/>
        <w:spacing w:after="120" w:line="240" w:lineRule="auto"/>
        <w:rPr>
          <w:rFonts w:cs="Times New Roman"/>
          <w:b/>
          <w:i/>
        </w:rPr>
      </w:pPr>
      <w:r>
        <w:rPr>
          <w:rStyle w:val="FootnoteReference"/>
        </w:rPr>
        <w:footnoteRef/>
      </w:r>
      <w:r>
        <w:t xml:space="preserve"> </w:t>
      </w:r>
      <w:r>
        <w:rPr>
          <w:i/>
        </w:rPr>
        <w:t xml:space="preserve">See </w:t>
      </w:r>
      <w:r w:rsidRPr="009F5FB6">
        <w:rPr>
          <w:rFonts w:cs="Times New Roman"/>
          <w:smallCaps/>
        </w:rPr>
        <w:t>Turk. Const.</w:t>
      </w:r>
      <w:r>
        <w:rPr>
          <w:rFonts w:cs="Times New Roman"/>
        </w:rPr>
        <w:t xml:space="preserve"> arts. 111 (1961), </w:t>
      </w:r>
      <w:r>
        <w:rPr>
          <w:rFonts w:cs="Times New Roman"/>
          <w:i/>
        </w:rPr>
        <w:t xml:space="preserve">translated in </w:t>
      </w:r>
      <w:r>
        <w:rPr>
          <w:rFonts w:cs="Times New Roman"/>
        </w:rPr>
        <w:t xml:space="preserve">Balkan, Uysal &amp; </w:t>
      </w:r>
      <w:r w:rsidRPr="00453822">
        <w:rPr>
          <w:rFonts w:cs="Times New Roman"/>
        </w:rPr>
        <w:t>Karpat</w:t>
      </w:r>
      <w:r>
        <w:rPr>
          <w:rFonts w:cs="Times New Roman"/>
        </w:rPr>
        <w:t xml:space="preserve">, </w:t>
      </w:r>
      <w:r>
        <w:rPr>
          <w:rFonts w:cs="Times New Roman"/>
          <w:i/>
        </w:rPr>
        <w:t xml:space="preserve">supra </w:t>
      </w:r>
      <w:r>
        <w:rPr>
          <w:rFonts w:cs="Times New Roman"/>
        </w:rPr>
        <w:t xml:space="preserve">note 91, </w:t>
      </w:r>
      <w:r>
        <w:t xml:space="preserve">227. </w:t>
      </w:r>
      <w:r>
        <w:rPr>
          <w:i/>
        </w:rPr>
        <w:t xml:space="preserve">See also </w:t>
      </w:r>
      <w:r>
        <w:rPr>
          <w:rFonts w:cs="Times New Roman"/>
          <w:smallCaps/>
        </w:rPr>
        <w:t>Angrist,</w:t>
      </w:r>
      <w:r>
        <w:rPr>
          <w:rFonts w:cs="Times New Roman"/>
        </w:rPr>
        <w:t xml:space="preserve"> </w:t>
      </w:r>
      <w:r>
        <w:rPr>
          <w:rFonts w:cs="Times New Roman"/>
          <w:i/>
        </w:rPr>
        <w:t xml:space="preserve">supra </w:t>
      </w:r>
      <w:r>
        <w:rPr>
          <w:rFonts w:cs="Times New Roman"/>
        </w:rPr>
        <w:t>note 2, at 3-4.</w:t>
      </w:r>
    </w:p>
  </w:footnote>
  <w:footnote w:id="152">
    <w:p w:rsidR="000D6203" w:rsidRPr="00597FAB" w:rsidRDefault="000D6203" w:rsidP="00B133E5">
      <w:pPr>
        <w:pStyle w:val="FootnoteText"/>
        <w:widowControl w:val="0"/>
        <w:spacing w:after="120"/>
      </w:pPr>
      <w:r>
        <w:rPr>
          <w:rStyle w:val="FootnoteReference"/>
        </w:rPr>
        <w:footnoteRef/>
      </w:r>
      <w:r>
        <w:t xml:space="preserve"> </w:t>
      </w:r>
      <w:r>
        <w:rPr>
          <w:i/>
        </w:rPr>
        <w:t xml:space="preserve">See supra </w:t>
      </w:r>
      <w:r>
        <w:t>notes 92-94 and accompanying text.</w:t>
      </w:r>
    </w:p>
  </w:footnote>
  <w:footnote w:id="153">
    <w:p w:rsidR="000D6203" w:rsidRPr="007B2F66" w:rsidRDefault="000D6203" w:rsidP="00B133E5">
      <w:pPr>
        <w:pStyle w:val="FootnoteText"/>
        <w:widowControl w:val="0"/>
        <w:spacing w:after="120"/>
      </w:pPr>
      <w:r>
        <w:rPr>
          <w:rStyle w:val="FootnoteReference"/>
        </w:rPr>
        <w:footnoteRef/>
      </w:r>
      <w:r>
        <w:t xml:space="preserve"> </w:t>
      </w:r>
      <w:r>
        <w:rPr>
          <w:i/>
        </w:rPr>
        <w:t xml:space="preserve">See </w:t>
      </w:r>
      <w:r>
        <w:t xml:space="preserve">Library of Congress, </w:t>
      </w:r>
      <w:r>
        <w:rPr>
          <w:i/>
        </w:rPr>
        <w:t xml:space="preserve">The Constitution, in </w:t>
      </w:r>
      <w:r w:rsidRPr="00D168EA">
        <w:rPr>
          <w:smallCaps/>
        </w:rPr>
        <w:t>Turkey: A Country Study</w:t>
      </w:r>
      <w:r w:rsidRPr="00CD11EC">
        <w:t xml:space="preserve"> </w:t>
      </w:r>
      <w:r>
        <w:t>(</w:t>
      </w:r>
      <w:r w:rsidRPr="00CD11EC">
        <w:t>Helen Chapin Metz, ed. 1995</w:t>
      </w:r>
      <w:r>
        <w:t xml:space="preserve">), </w:t>
      </w:r>
      <w:r>
        <w:rPr>
          <w:i/>
        </w:rPr>
        <w:t xml:space="preserve">available at </w:t>
      </w:r>
      <w:r w:rsidRPr="00D168EA">
        <w:t>http://countrystudies.us/turkey/71.htm .</w:t>
      </w:r>
      <w:r>
        <w:t xml:space="preserve"> </w:t>
      </w:r>
      <w:r>
        <w:rPr>
          <w:i/>
        </w:rPr>
        <w:t xml:space="preserve">See also </w:t>
      </w:r>
      <w:r w:rsidRPr="009F5FB6">
        <w:rPr>
          <w:rFonts w:cs="Times New Roman"/>
          <w:smallCaps/>
        </w:rPr>
        <w:t>Turk. Const.</w:t>
      </w:r>
      <w:r w:rsidRPr="002128B7">
        <w:rPr>
          <w:rFonts w:cs="Times New Roman"/>
        </w:rPr>
        <w:t xml:space="preserve"> </w:t>
      </w:r>
      <w:r>
        <w:rPr>
          <w:rFonts w:cs="Times New Roman"/>
        </w:rPr>
        <w:t xml:space="preserve">provisional </w:t>
      </w:r>
      <w:r w:rsidRPr="002128B7">
        <w:rPr>
          <w:rFonts w:cs="Times New Roman"/>
        </w:rPr>
        <w:t>art</w:t>
      </w:r>
      <w:r>
        <w:rPr>
          <w:rFonts w:cs="Times New Roman"/>
        </w:rPr>
        <w:t xml:space="preserve">. 16 (1982), </w:t>
      </w:r>
      <w:r>
        <w:rPr>
          <w:rFonts w:cs="Times New Roman"/>
          <w:i/>
        </w:rPr>
        <w:t xml:space="preserve">available at </w:t>
      </w:r>
      <w:r w:rsidRPr="006D1A93">
        <w:rPr>
          <w:rFonts w:cs="Times New Roman"/>
        </w:rPr>
        <w:t>http://www.anayasa.gov.tr/images/loaded/pdf_dosyalari/THE_CONSTITUTION_OF_THE_REPUBLIC_OF_TURKEY.pdf.</w:t>
      </w:r>
    </w:p>
  </w:footnote>
  <w:footnote w:id="154">
    <w:p w:rsidR="000D6203" w:rsidRDefault="000D6203" w:rsidP="00B133E5">
      <w:pPr>
        <w:pStyle w:val="FootnoteText"/>
        <w:widowControl w:val="0"/>
        <w:spacing w:after="120"/>
      </w:pPr>
      <w:r>
        <w:rPr>
          <w:rStyle w:val="FootnoteReference"/>
        </w:rPr>
        <w:footnoteRef/>
      </w:r>
      <w:r>
        <w:t xml:space="preserve"> </w:t>
      </w:r>
      <w:r>
        <w:rPr>
          <w:i/>
        </w:rPr>
        <w:t>See id.</w:t>
      </w:r>
      <w:r w:rsidRPr="002128B7">
        <w:rPr>
          <w:rFonts w:cs="Times New Roman"/>
        </w:rPr>
        <w:t xml:space="preserve"> art</w:t>
      </w:r>
      <w:r>
        <w:rPr>
          <w:rFonts w:cs="Times New Roman"/>
        </w:rPr>
        <w:t>s. 56 &amp; 57</w:t>
      </w:r>
      <w:r w:rsidRPr="006D1A93">
        <w:rPr>
          <w:rFonts w:cs="Times New Roman"/>
        </w:rPr>
        <w:t>.</w:t>
      </w:r>
    </w:p>
  </w:footnote>
  <w:footnote w:id="155">
    <w:p w:rsidR="000D6203" w:rsidRPr="00D86641" w:rsidRDefault="000D6203" w:rsidP="00B133E5">
      <w:pPr>
        <w:pStyle w:val="FootnoteText"/>
        <w:widowControl w:val="0"/>
        <w:spacing w:after="120"/>
      </w:pPr>
      <w:r>
        <w:rPr>
          <w:rStyle w:val="FootnoteReference"/>
        </w:rPr>
        <w:footnoteRef/>
      </w:r>
      <w:r>
        <w:t xml:space="preserve"> </w:t>
      </w:r>
      <w:r>
        <w:rPr>
          <w:i/>
        </w:rPr>
        <w:t xml:space="preserve">See id. </w:t>
      </w:r>
      <w:r>
        <w:t>arts. 58 &amp; 59.</w:t>
      </w:r>
    </w:p>
  </w:footnote>
  <w:footnote w:id="156">
    <w:p w:rsidR="000D6203" w:rsidRPr="00D86641" w:rsidRDefault="000D6203" w:rsidP="00B133E5">
      <w:pPr>
        <w:pStyle w:val="FootnoteText"/>
        <w:widowControl w:val="0"/>
        <w:spacing w:after="120"/>
      </w:pPr>
      <w:r>
        <w:rPr>
          <w:rStyle w:val="FootnoteReference"/>
        </w:rPr>
        <w:footnoteRef/>
      </w:r>
      <w:r>
        <w:t xml:space="preserve"> </w:t>
      </w:r>
      <w:r>
        <w:rPr>
          <w:i/>
        </w:rPr>
        <w:t xml:space="preserve">See </w:t>
      </w:r>
      <w:r>
        <w:t xml:space="preserve">Library of Congress, </w:t>
      </w:r>
      <w:r>
        <w:rPr>
          <w:i/>
        </w:rPr>
        <w:t xml:space="preserve">supra </w:t>
      </w:r>
      <w:r>
        <w:t>note 153.</w:t>
      </w:r>
    </w:p>
  </w:footnote>
  <w:footnote w:id="157">
    <w:p w:rsidR="000D6203" w:rsidRPr="00D86641" w:rsidRDefault="000D6203" w:rsidP="00B133E5">
      <w:pPr>
        <w:pStyle w:val="FootnoteText"/>
        <w:widowControl w:val="0"/>
        <w:spacing w:after="120"/>
      </w:pPr>
      <w:r>
        <w:rPr>
          <w:rStyle w:val="FootnoteReference"/>
        </w:rPr>
        <w:footnoteRef/>
      </w:r>
      <w:r>
        <w:t xml:space="preserve"> </w:t>
      </w:r>
      <w:r>
        <w:rPr>
          <w:i/>
        </w:rPr>
        <w:t>See id.</w:t>
      </w:r>
    </w:p>
  </w:footnote>
  <w:footnote w:id="158">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sidRPr="002128B7">
        <w:rPr>
          <w:rFonts w:cs="Times New Roman"/>
          <w:i/>
        </w:rPr>
        <w:t xml:space="preserve">See </w:t>
      </w:r>
      <w:r w:rsidRPr="009F5FB6">
        <w:rPr>
          <w:rFonts w:cs="Times New Roman"/>
          <w:smallCaps/>
        </w:rPr>
        <w:t>Turk. Const.</w:t>
      </w:r>
      <w:r w:rsidRPr="002128B7">
        <w:rPr>
          <w:rFonts w:cs="Times New Roman"/>
        </w:rPr>
        <w:t xml:space="preserve"> arts. 75, 95</w:t>
      </w:r>
      <w:r>
        <w:rPr>
          <w:rFonts w:cs="Times New Roman"/>
        </w:rPr>
        <w:t xml:space="preserve"> (1982), </w:t>
      </w:r>
      <w:r>
        <w:rPr>
          <w:rFonts w:cs="Times New Roman"/>
          <w:i/>
        </w:rPr>
        <w:t xml:space="preserve">available at </w:t>
      </w:r>
      <w:r w:rsidRPr="006D1A93">
        <w:rPr>
          <w:rFonts w:cs="Times New Roman"/>
        </w:rPr>
        <w:t>http://www.anayasa.gov.tr/images/loaded/pdf_dosyalari/THE_CONSTITUTIO</w:t>
      </w:r>
      <w:r>
        <w:rPr>
          <w:rFonts w:cs="Times New Roman"/>
        </w:rPr>
        <w:t>N_OF_THE_REPUBLIC_OF_TURKEY.pdf</w:t>
      </w:r>
      <w:r w:rsidRPr="002128B7">
        <w:rPr>
          <w:rFonts w:cs="Times New Roman"/>
        </w:rPr>
        <w:t>.</w:t>
      </w:r>
    </w:p>
  </w:footnote>
  <w:footnote w:id="159">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Pr>
          <w:rFonts w:cs="Times New Roman"/>
          <w:i/>
        </w:rPr>
        <w:t xml:space="preserve">See id. </w:t>
      </w:r>
      <w:r w:rsidRPr="002128B7">
        <w:rPr>
          <w:rFonts w:cs="Times New Roman"/>
        </w:rPr>
        <w:t>art. 80.</w:t>
      </w:r>
    </w:p>
  </w:footnote>
  <w:footnote w:id="160">
    <w:p w:rsidR="000D6203" w:rsidRPr="006B6A8A" w:rsidRDefault="000D6203" w:rsidP="00B133E5">
      <w:pPr>
        <w:pStyle w:val="FootnoteText"/>
        <w:widowControl w:val="0"/>
        <w:spacing w:after="120"/>
      </w:pPr>
      <w:r>
        <w:rPr>
          <w:rStyle w:val="FootnoteReference"/>
        </w:rPr>
        <w:footnoteRef/>
      </w:r>
      <w:r>
        <w:t xml:space="preserve"> </w:t>
      </w:r>
      <w:r>
        <w:rPr>
          <w:i/>
        </w:rPr>
        <w:t xml:space="preserve">See </w:t>
      </w:r>
      <w:r>
        <w:rPr>
          <w:rFonts w:cs="Times New Roman"/>
          <w:smallCaps/>
        </w:rPr>
        <w:t>Ottoman Const.</w:t>
      </w:r>
      <w:r>
        <w:rPr>
          <w:rFonts w:cs="Times New Roman"/>
        </w:rPr>
        <w:t xml:space="preserve"> art. 71 (1876), </w:t>
      </w:r>
      <w:r>
        <w:rPr>
          <w:rFonts w:cs="Times New Roman"/>
          <w:i/>
        </w:rPr>
        <w:t xml:space="preserve">available at </w:t>
      </w:r>
      <w:r w:rsidRPr="006B6A8A">
        <w:rPr>
          <w:rFonts w:cs="Times New Roman"/>
        </w:rPr>
        <w:t>http://www.anayasa.gen.tr/1876constitution.htm</w:t>
      </w:r>
      <w:r w:rsidRPr="00B01B12">
        <w:rPr>
          <w:rFonts w:cs="Times New Roman"/>
        </w:rPr>
        <w:t>.</w:t>
      </w:r>
      <w:r>
        <w:rPr>
          <w:rFonts w:cs="Times New Roman"/>
        </w:rPr>
        <w:t xml:space="preserve"> "Every member of the Chamber of deputies represents the whole body of Ottomans, and not exclusively the circumscription which has elected him." </w:t>
      </w:r>
      <w:r>
        <w:rPr>
          <w:rFonts w:cs="Times New Roman"/>
          <w:i/>
        </w:rPr>
        <w:t>Id.</w:t>
      </w:r>
    </w:p>
  </w:footnote>
  <w:footnote w:id="161">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sidRPr="002128B7">
        <w:rPr>
          <w:rFonts w:cs="Times New Roman"/>
          <w:i/>
        </w:rPr>
        <w:t xml:space="preserve">See </w:t>
      </w:r>
      <w:r w:rsidRPr="009F5FB6">
        <w:rPr>
          <w:rFonts w:cs="Times New Roman"/>
          <w:smallCaps/>
        </w:rPr>
        <w:t>Turk. Const.</w:t>
      </w:r>
      <w:r w:rsidRPr="002128B7">
        <w:rPr>
          <w:rFonts w:cs="Times New Roman"/>
        </w:rPr>
        <w:t xml:space="preserve"> </w:t>
      </w:r>
      <w:r>
        <w:rPr>
          <w:rFonts w:cs="Times New Roman"/>
        </w:rPr>
        <w:t xml:space="preserve">art. 101 (1982), </w:t>
      </w:r>
      <w:r>
        <w:rPr>
          <w:rFonts w:cs="Times New Roman"/>
          <w:i/>
        </w:rPr>
        <w:t xml:space="preserve">available at </w:t>
      </w:r>
      <w:r w:rsidRPr="006D1A93">
        <w:rPr>
          <w:rFonts w:cs="Times New Roman"/>
        </w:rPr>
        <w:t>http://www.anayasa.gov.tr/images/loaded/pdf_dosyalari/THE_CONSTITUTIO</w:t>
      </w:r>
      <w:r>
        <w:rPr>
          <w:rFonts w:cs="Times New Roman"/>
        </w:rPr>
        <w:t>N_OF_THE_REPUBLIC_OF_TURKEY.pdf</w:t>
      </w:r>
      <w:r w:rsidRPr="002128B7">
        <w:rPr>
          <w:rFonts w:cs="Times New Roman"/>
        </w:rPr>
        <w:t>.</w:t>
      </w:r>
    </w:p>
  </w:footnote>
  <w:footnote w:id="162">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Pr>
          <w:rFonts w:cs="Times New Roman"/>
          <w:i/>
        </w:rPr>
        <w:t xml:space="preserve">See id. </w:t>
      </w:r>
      <w:r>
        <w:rPr>
          <w:rFonts w:cs="Times New Roman"/>
        </w:rPr>
        <w:t>a</w:t>
      </w:r>
      <w:r w:rsidRPr="002128B7">
        <w:rPr>
          <w:rFonts w:cs="Times New Roman"/>
        </w:rPr>
        <w:t>rt</w:t>
      </w:r>
      <w:r>
        <w:rPr>
          <w:rFonts w:cs="Times New Roman"/>
        </w:rPr>
        <w:t>. 68</w:t>
      </w:r>
      <w:r w:rsidRPr="006D1A93">
        <w:rPr>
          <w:rFonts w:cs="Times New Roman"/>
        </w:rPr>
        <w:t>.</w:t>
      </w:r>
    </w:p>
  </w:footnote>
  <w:footnote w:id="163">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Pr>
          <w:rFonts w:cs="Times New Roman"/>
        </w:rPr>
        <w:t xml:space="preserve"> </w:t>
      </w:r>
      <w:r>
        <w:rPr>
          <w:rFonts w:cs="Times New Roman"/>
          <w:i/>
        </w:rPr>
        <w:t>See id.</w:t>
      </w:r>
      <w:r w:rsidRPr="002128B7">
        <w:rPr>
          <w:rFonts w:cs="Times New Roman"/>
        </w:rPr>
        <w:t xml:space="preserve"> art. 67.</w:t>
      </w:r>
    </w:p>
  </w:footnote>
  <w:footnote w:id="164">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Pr>
          <w:rFonts w:cs="Times New Roman"/>
          <w:i/>
        </w:rPr>
        <w:t>See id.</w:t>
      </w:r>
      <w:r w:rsidRPr="002128B7">
        <w:rPr>
          <w:rFonts w:cs="Times New Roman"/>
        </w:rPr>
        <w:t xml:space="preserve"> provisional arts. 1-3, 15</w:t>
      </w:r>
    </w:p>
  </w:footnote>
  <w:footnote w:id="165">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Pr>
          <w:rFonts w:cs="Times New Roman"/>
        </w:rPr>
        <w:t xml:space="preserve"> </w:t>
      </w:r>
      <w:r>
        <w:rPr>
          <w:rFonts w:cs="Times New Roman"/>
          <w:i/>
        </w:rPr>
        <w:t xml:space="preserve">See id. </w:t>
      </w:r>
      <w:r w:rsidRPr="002128B7">
        <w:rPr>
          <w:rFonts w:cs="Times New Roman"/>
        </w:rPr>
        <w:t>art. 120.</w:t>
      </w:r>
    </w:p>
  </w:footnote>
  <w:footnote w:id="166">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Pr>
          <w:rFonts w:cs="Times New Roman"/>
          <w:i/>
        </w:rPr>
        <w:t xml:space="preserve">See id. </w:t>
      </w:r>
      <w:r w:rsidRPr="002128B7">
        <w:rPr>
          <w:rFonts w:cs="Times New Roman"/>
        </w:rPr>
        <w:t>art. 148.</w:t>
      </w:r>
    </w:p>
  </w:footnote>
  <w:footnote w:id="167">
    <w:p w:rsidR="000D6203" w:rsidRPr="007B2F66" w:rsidRDefault="000D6203" w:rsidP="00B133E5">
      <w:pPr>
        <w:pStyle w:val="FootnoteText"/>
        <w:spacing w:after="120"/>
      </w:pPr>
      <w:r>
        <w:rPr>
          <w:rStyle w:val="FootnoteReference"/>
        </w:rPr>
        <w:footnoteRef/>
      </w:r>
      <w:r>
        <w:t xml:space="preserve"> Library of Congress, </w:t>
      </w:r>
      <w:r>
        <w:rPr>
          <w:i/>
        </w:rPr>
        <w:t xml:space="preserve">supra </w:t>
      </w:r>
      <w:r>
        <w:t xml:space="preserve">note 153. </w:t>
      </w:r>
      <w:r>
        <w:rPr>
          <w:i/>
        </w:rPr>
        <w:t xml:space="preserve">See </w:t>
      </w:r>
      <w:r w:rsidRPr="009F5FB6">
        <w:rPr>
          <w:rFonts w:cs="Times New Roman"/>
          <w:smallCaps/>
        </w:rPr>
        <w:t>Turk. Const.</w:t>
      </w:r>
      <w:r w:rsidRPr="002128B7">
        <w:rPr>
          <w:rFonts w:cs="Times New Roman"/>
        </w:rPr>
        <w:t xml:space="preserve"> </w:t>
      </w:r>
      <w:r>
        <w:rPr>
          <w:rFonts w:cs="Times New Roman"/>
        </w:rPr>
        <w:t xml:space="preserve">provisional arts. 1 &amp; 2 (1982), </w:t>
      </w:r>
      <w:r>
        <w:rPr>
          <w:rFonts w:cs="Times New Roman"/>
          <w:i/>
        </w:rPr>
        <w:t xml:space="preserve">available at </w:t>
      </w:r>
      <w:r w:rsidRPr="006D1A93">
        <w:rPr>
          <w:rFonts w:cs="Times New Roman"/>
        </w:rPr>
        <w:t>http://www.anayasa.gov.tr/images/loaded/pdf_dosyalari/THE_CONSTITUTIO</w:t>
      </w:r>
      <w:r>
        <w:rPr>
          <w:rFonts w:cs="Times New Roman"/>
        </w:rPr>
        <w:t>N_OF_THE_REPUBLIC_OF_TURKEY.pdf</w:t>
      </w:r>
      <w:r w:rsidRPr="002128B7">
        <w:rPr>
          <w:rFonts w:cs="Times New Roman"/>
        </w:rPr>
        <w:t>.</w:t>
      </w:r>
    </w:p>
  </w:footnote>
  <w:footnote w:id="168">
    <w:p w:rsidR="000D6203" w:rsidRPr="007318AA" w:rsidRDefault="000D6203" w:rsidP="00B133E5">
      <w:pPr>
        <w:pStyle w:val="FootnoteText"/>
        <w:spacing w:after="120"/>
      </w:pPr>
      <w:r>
        <w:rPr>
          <w:rStyle w:val="FootnoteReference"/>
        </w:rPr>
        <w:footnoteRef/>
      </w:r>
      <w:r>
        <w:t xml:space="preserve"> </w:t>
      </w:r>
      <w:r>
        <w:rPr>
          <w:i/>
        </w:rPr>
        <w:t xml:space="preserve">See </w:t>
      </w:r>
      <w:r>
        <w:t xml:space="preserve">Library of Congress, </w:t>
      </w:r>
      <w:r>
        <w:rPr>
          <w:i/>
        </w:rPr>
        <w:t xml:space="preserve">supra </w:t>
      </w:r>
      <w:r>
        <w:t>note 153.</w:t>
      </w:r>
    </w:p>
  </w:footnote>
  <w:footnote w:id="169">
    <w:p w:rsidR="000D6203" w:rsidRPr="007318AA" w:rsidRDefault="000D6203" w:rsidP="00B133E5">
      <w:pPr>
        <w:pStyle w:val="FootnoteText"/>
        <w:spacing w:after="120"/>
      </w:pPr>
      <w:r>
        <w:rPr>
          <w:rStyle w:val="FootnoteReference"/>
        </w:rPr>
        <w:footnoteRef/>
      </w:r>
      <w:r>
        <w:t xml:space="preserve"> </w:t>
      </w:r>
      <w:r>
        <w:rPr>
          <w:i/>
        </w:rPr>
        <w:t xml:space="preserve">See supra </w:t>
      </w:r>
      <w:r>
        <w:t>notes 97-98 and accompanying text.</w:t>
      </w:r>
    </w:p>
  </w:footnote>
  <w:footnote w:id="170">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sidRPr="009F5FB6">
        <w:rPr>
          <w:rFonts w:cs="Times New Roman"/>
          <w:smallCaps/>
        </w:rPr>
        <w:t>Turk. Const.</w:t>
      </w:r>
      <w:r w:rsidRPr="002128B7">
        <w:rPr>
          <w:rFonts w:cs="Times New Roman"/>
        </w:rPr>
        <w:t xml:space="preserve"> art. 118</w:t>
      </w:r>
      <w:r>
        <w:rPr>
          <w:rFonts w:cs="Times New Roman"/>
        </w:rPr>
        <w:t xml:space="preserve"> (amended 2001), </w:t>
      </w:r>
      <w:r>
        <w:rPr>
          <w:rFonts w:cs="Times New Roman"/>
          <w:i/>
        </w:rPr>
        <w:t xml:space="preserve">available at </w:t>
      </w:r>
      <w:r w:rsidRPr="006D1A93">
        <w:rPr>
          <w:rFonts w:cs="Times New Roman"/>
        </w:rPr>
        <w:t>http://www.anayasa.gov.tr/images/loaded/pdf_dosyalari/THE_CONSTITUTION_OF_THE_REPUBLIC_OF_TURKEY.pdf.</w:t>
      </w:r>
    </w:p>
  </w:footnote>
  <w:footnote w:id="171">
    <w:p w:rsidR="000D6203" w:rsidRPr="00A547FE" w:rsidRDefault="000D6203" w:rsidP="00B133E5">
      <w:pPr>
        <w:pStyle w:val="FootnoteText"/>
        <w:spacing w:after="120"/>
      </w:pPr>
      <w:r>
        <w:rPr>
          <w:rStyle w:val="FootnoteReference"/>
        </w:rPr>
        <w:footnoteRef/>
      </w:r>
      <w:r>
        <w:t xml:space="preserve"> </w:t>
      </w:r>
      <w:r>
        <w:rPr>
          <w:i/>
        </w:rPr>
        <w:t>See Marching Along; Reforms in Turkey</w:t>
      </w:r>
      <w:r>
        <w:t xml:space="preserve">, </w:t>
      </w:r>
      <w:r w:rsidRPr="00A547FE">
        <w:rPr>
          <w:smallCaps/>
        </w:rPr>
        <w:t>The Economist</w:t>
      </w:r>
      <w:r>
        <w:t>, July 4, 2009.</w:t>
      </w:r>
    </w:p>
  </w:footnote>
  <w:footnote w:id="172">
    <w:p w:rsidR="000D6203" w:rsidRDefault="000D6203" w:rsidP="00B133E5">
      <w:pPr>
        <w:pStyle w:val="FootnoteText"/>
        <w:spacing w:after="120"/>
      </w:pPr>
      <w:r>
        <w:rPr>
          <w:rStyle w:val="FootnoteReference"/>
        </w:rPr>
        <w:footnoteRef/>
      </w:r>
      <w:r>
        <w:t xml:space="preserve"> </w:t>
      </w:r>
      <w:r w:rsidRPr="002128B7">
        <w:rPr>
          <w:rFonts w:cs="Times New Roman"/>
          <w:i/>
        </w:rPr>
        <w:t xml:space="preserve">See </w:t>
      </w:r>
      <w:r w:rsidRPr="002128B7">
        <w:rPr>
          <w:rFonts w:cs="Times New Roman"/>
        </w:rPr>
        <w:t xml:space="preserve">Genckaya, </w:t>
      </w:r>
      <w:r>
        <w:rPr>
          <w:rFonts w:cs="Times New Roman"/>
          <w:i/>
        </w:rPr>
        <w:t xml:space="preserve">supra </w:t>
      </w:r>
      <w:r>
        <w:rPr>
          <w:rFonts w:cs="Times New Roman"/>
        </w:rPr>
        <w:t>note 19, at 43 &amp; n.14-15</w:t>
      </w:r>
      <w:r w:rsidRPr="002128B7">
        <w:rPr>
          <w:rFonts w:cs="Times New Roman"/>
        </w:rPr>
        <w:t>.</w:t>
      </w:r>
    </w:p>
  </w:footnote>
  <w:footnote w:id="173">
    <w:p w:rsidR="000D6203" w:rsidRPr="00982702" w:rsidRDefault="000D6203" w:rsidP="00B133E5">
      <w:pPr>
        <w:pStyle w:val="FootnoteText"/>
        <w:spacing w:after="120"/>
      </w:pPr>
      <w:r w:rsidRPr="002128B7">
        <w:rPr>
          <w:rStyle w:val="FootnoteReference"/>
          <w:rFonts w:cs="Times New Roman"/>
        </w:rPr>
        <w:footnoteRef/>
      </w:r>
      <w:r w:rsidRPr="002128B7">
        <w:rPr>
          <w:rFonts w:cs="Times New Roman"/>
        </w:rPr>
        <w:t xml:space="preserve"> </w:t>
      </w:r>
      <w:r>
        <w:rPr>
          <w:rFonts w:cs="Times New Roman"/>
          <w:i/>
        </w:rPr>
        <w:t xml:space="preserve">See id. </w:t>
      </w:r>
      <w:r>
        <w:rPr>
          <w:rFonts w:cs="Times New Roman"/>
        </w:rPr>
        <w:t>at</w:t>
      </w:r>
      <w:r w:rsidRPr="002128B7">
        <w:rPr>
          <w:rFonts w:cs="Times New Roman"/>
        </w:rPr>
        <w:t xml:space="preserve"> </w:t>
      </w:r>
      <w:r>
        <w:rPr>
          <w:rFonts w:cs="Times New Roman"/>
        </w:rPr>
        <w:t xml:space="preserve">43, </w:t>
      </w:r>
      <w:r w:rsidRPr="002128B7">
        <w:rPr>
          <w:rFonts w:cs="Times New Roman"/>
        </w:rPr>
        <w:t>45-46.</w:t>
      </w:r>
      <w:r>
        <w:rPr>
          <w:rFonts w:cs="Times New Roman"/>
        </w:rPr>
        <w:t xml:space="preserve"> "</w:t>
      </w:r>
      <w:r w:rsidRPr="00982702">
        <w:rPr>
          <w:rFonts w:cs="Times New Roman"/>
        </w:rPr>
        <w:t>The state shall provide the political parties with adequate financial means in an equitable manner."</w:t>
      </w:r>
      <w:r>
        <w:rPr>
          <w:rFonts w:cs="Times New Roman"/>
        </w:rPr>
        <w:t xml:space="preserve"> </w:t>
      </w:r>
      <w:r w:rsidRPr="009F5FB6">
        <w:rPr>
          <w:rFonts w:cs="Times New Roman"/>
          <w:smallCaps/>
        </w:rPr>
        <w:t>Turk. Const.</w:t>
      </w:r>
      <w:r w:rsidRPr="002128B7">
        <w:rPr>
          <w:rFonts w:cs="Times New Roman"/>
        </w:rPr>
        <w:t xml:space="preserve"> </w:t>
      </w:r>
      <w:r>
        <w:rPr>
          <w:rFonts w:cs="Times New Roman"/>
        </w:rPr>
        <w:t xml:space="preserve">art. 68 (amended 1995), </w:t>
      </w:r>
      <w:r>
        <w:rPr>
          <w:rFonts w:cs="Times New Roman"/>
          <w:i/>
        </w:rPr>
        <w:t xml:space="preserve">available at </w:t>
      </w:r>
      <w:r w:rsidRPr="006D1A93">
        <w:rPr>
          <w:rFonts w:cs="Times New Roman"/>
        </w:rPr>
        <w:t>http://www.anayasa.gov.tr/images/loaded/pdf_dosyalari/THE_CONSTITUTIO</w:t>
      </w:r>
      <w:r>
        <w:rPr>
          <w:rFonts w:cs="Times New Roman"/>
        </w:rPr>
        <w:t>N_OF_THE_REPUBLIC_OF_TURKEY.pdf</w:t>
      </w:r>
      <w:r w:rsidRPr="002128B7">
        <w:rPr>
          <w:rFonts w:cs="Times New Roman"/>
        </w:rPr>
        <w:t>.</w:t>
      </w:r>
    </w:p>
  </w:footnote>
  <w:footnote w:id="174">
    <w:p w:rsidR="000D6203" w:rsidRPr="000B285C" w:rsidRDefault="000D6203" w:rsidP="00B133E5">
      <w:pPr>
        <w:pStyle w:val="FootnoteText"/>
        <w:spacing w:after="120"/>
      </w:pPr>
      <w:r>
        <w:rPr>
          <w:rStyle w:val="FootnoteReference"/>
        </w:rPr>
        <w:footnoteRef/>
      </w:r>
      <w:r>
        <w:t xml:space="preserve"> </w:t>
      </w:r>
      <w:r>
        <w:rPr>
          <w:i/>
        </w:rPr>
        <w:t xml:space="preserve">See </w:t>
      </w:r>
      <w:r w:rsidRPr="009F5FB6">
        <w:rPr>
          <w:rFonts w:cs="Times New Roman"/>
          <w:smallCaps/>
        </w:rPr>
        <w:t>Turk. Const.</w:t>
      </w:r>
      <w:r w:rsidRPr="002128B7">
        <w:rPr>
          <w:rFonts w:cs="Times New Roman"/>
        </w:rPr>
        <w:t xml:space="preserve"> </w:t>
      </w:r>
      <w:r>
        <w:rPr>
          <w:rFonts w:cs="Times New Roman"/>
        </w:rPr>
        <w:t xml:space="preserve">art. 69, </w:t>
      </w:r>
      <w:r>
        <w:rPr>
          <w:rFonts w:cs="Times New Roman"/>
          <w:i/>
        </w:rPr>
        <w:t xml:space="preserve">available at </w:t>
      </w:r>
      <w:r w:rsidRPr="006D1A93">
        <w:rPr>
          <w:rFonts w:cs="Times New Roman"/>
        </w:rPr>
        <w:t>http://www.anayasa.gov.tr/images/loaded/pdf_dosyalari/THE_CONSTITUTIO</w:t>
      </w:r>
      <w:r>
        <w:rPr>
          <w:rFonts w:cs="Times New Roman"/>
        </w:rPr>
        <w:t>N_OF_THE_REPUBLIC_OF_TURKEY.pdf</w:t>
      </w:r>
      <w:r w:rsidRPr="002128B7">
        <w:rPr>
          <w:rFonts w:cs="Times New Roman"/>
        </w:rPr>
        <w:t>.</w:t>
      </w:r>
    </w:p>
  </w:footnote>
  <w:footnote w:id="175">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Pr>
          <w:rFonts w:cs="Times New Roman"/>
          <w:i/>
        </w:rPr>
        <w:t xml:space="preserve">See </w:t>
      </w:r>
      <w:r w:rsidRPr="002128B7">
        <w:rPr>
          <w:rFonts w:cs="Times New Roman"/>
        </w:rPr>
        <w:t xml:space="preserve">Genckaya, </w:t>
      </w:r>
      <w:r>
        <w:rPr>
          <w:rFonts w:cs="Times New Roman"/>
          <w:i/>
        </w:rPr>
        <w:t xml:space="preserve">supra </w:t>
      </w:r>
      <w:r>
        <w:rPr>
          <w:rFonts w:cs="Times New Roman"/>
        </w:rPr>
        <w:t>note 19, at 41-42</w:t>
      </w:r>
      <w:r w:rsidRPr="002128B7">
        <w:rPr>
          <w:rFonts w:cs="Times New Roman"/>
        </w:rPr>
        <w:t>.</w:t>
      </w:r>
    </w:p>
  </w:footnote>
  <w:footnote w:id="176">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Pr>
          <w:rFonts w:cs="Times New Roman"/>
          <w:i/>
        </w:rPr>
        <w:t xml:space="preserve">See id. </w:t>
      </w:r>
      <w:r>
        <w:rPr>
          <w:rFonts w:cs="Times New Roman"/>
        </w:rPr>
        <w:t xml:space="preserve">at 43 &amp; n.15. </w:t>
      </w:r>
      <w:r>
        <w:rPr>
          <w:rFonts w:cs="Times New Roman"/>
          <w:i/>
        </w:rPr>
        <w:t xml:space="preserve">See also </w:t>
      </w:r>
      <w:r w:rsidRPr="009F5FB6">
        <w:rPr>
          <w:rFonts w:cs="Times New Roman"/>
          <w:smallCaps/>
        </w:rPr>
        <w:t>Turk. Const.</w:t>
      </w:r>
      <w:r w:rsidRPr="002128B7">
        <w:rPr>
          <w:rFonts w:cs="Times New Roman"/>
        </w:rPr>
        <w:t xml:space="preserve"> </w:t>
      </w:r>
      <w:r>
        <w:rPr>
          <w:rFonts w:cs="Times New Roman"/>
        </w:rPr>
        <w:t xml:space="preserve">art. 69 (amended 2001), </w:t>
      </w:r>
      <w:r>
        <w:rPr>
          <w:rFonts w:cs="Times New Roman"/>
          <w:i/>
        </w:rPr>
        <w:t xml:space="preserve">available at </w:t>
      </w:r>
      <w:r w:rsidRPr="006D1A93">
        <w:rPr>
          <w:rFonts w:cs="Times New Roman"/>
        </w:rPr>
        <w:t>http://www.anayasa.gov.tr/images/loaded/pdf_dosyalari/THE_CONSTITUTIO</w:t>
      </w:r>
      <w:r>
        <w:rPr>
          <w:rFonts w:cs="Times New Roman"/>
        </w:rPr>
        <w:t>N_OF_THE_REPUBLIC_OF_TURKEY.pdf</w:t>
      </w:r>
      <w:r w:rsidRPr="002128B7">
        <w:rPr>
          <w:rFonts w:cs="Times New Roman"/>
        </w:rPr>
        <w:t>.</w:t>
      </w:r>
    </w:p>
  </w:footnote>
  <w:footnote w:id="177">
    <w:p w:rsidR="000D6203" w:rsidRPr="000106AD"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Pr>
          <w:rFonts w:cs="Times New Roman"/>
          <w:i/>
        </w:rPr>
        <w:t xml:space="preserve">See </w:t>
      </w:r>
      <w:r w:rsidRPr="002128B7">
        <w:rPr>
          <w:rFonts w:cs="Times New Roman"/>
        </w:rPr>
        <w:t xml:space="preserve">Genckaya, </w:t>
      </w:r>
      <w:r>
        <w:rPr>
          <w:rFonts w:cs="Times New Roman"/>
          <w:i/>
        </w:rPr>
        <w:t xml:space="preserve">supra </w:t>
      </w:r>
      <w:r>
        <w:rPr>
          <w:rFonts w:cs="Times New Roman"/>
        </w:rPr>
        <w:t xml:space="preserve">note 19, at </w:t>
      </w:r>
      <w:r w:rsidRPr="002128B7">
        <w:rPr>
          <w:rFonts w:cs="Times New Roman"/>
        </w:rPr>
        <w:t>41.</w:t>
      </w:r>
      <w:r>
        <w:rPr>
          <w:rFonts w:cs="Times New Roman"/>
        </w:rPr>
        <w:t xml:space="preserve"> Laicism and secularism are often used interchangeably, but perceptible differences exist. </w:t>
      </w:r>
      <w:r>
        <w:rPr>
          <w:rFonts w:cs="Times New Roman"/>
          <w:i/>
        </w:rPr>
        <w:t xml:space="preserve">See </w:t>
      </w:r>
      <w:r w:rsidRPr="00E17D17">
        <w:rPr>
          <w:iCs/>
        </w:rPr>
        <w:t>G</w:t>
      </w:r>
      <w:r w:rsidRPr="00E17D17">
        <w:rPr>
          <w:rFonts w:hint="eastAsia"/>
          <w:iCs/>
        </w:rPr>
        <w:t>ü</w:t>
      </w:r>
      <w:r w:rsidRPr="00E17D17">
        <w:rPr>
          <w:iCs/>
        </w:rPr>
        <w:t>ven</w:t>
      </w:r>
      <w:r w:rsidRPr="00E17D17">
        <w:rPr>
          <w:rFonts w:hint="eastAsia"/>
          <w:iCs/>
        </w:rPr>
        <w:t>ç</w:t>
      </w:r>
      <w:r>
        <w:rPr>
          <w:iCs/>
        </w:rPr>
        <w:t xml:space="preserve">, </w:t>
      </w:r>
      <w:r>
        <w:rPr>
          <w:i/>
          <w:iCs/>
        </w:rPr>
        <w:t xml:space="preserve">supra </w:t>
      </w:r>
      <w:r>
        <w:rPr>
          <w:iCs/>
        </w:rPr>
        <w:t>note 138, at 2. Laicism is a French concept that politically "</w:t>
      </w:r>
      <w:r w:rsidRPr="002A5AC7">
        <w:rPr>
          <w:iCs/>
        </w:rPr>
        <w:t>stands for the supremacy of the State power over the religious</w:t>
      </w:r>
      <w:r>
        <w:rPr>
          <w:iCs/>
        </w:rPr>
        <w:t xml:space="preserve"> </w:t>
      </w:r>
      <w:r w:rsidRPr="002A5AC7">
        <w:rPr>
          <w:iCs/>
        </w:rPr>
        <w:t>establishments.</w:t>
      </w:r>
      <w:r>
        <w:rPr>
          <w:iCs/>
        </w:rPr>
        <w:t xml:space="preserve">" </w:t>
      </w:r>
      <w:r>
        <w:rPr>
          <w:i/>
          <w:iCs/>
        </w:rPr>
        <w:t xml:space="preserve">Id. </w:t>
      </w:r>
      <w:r>
        <w:rPr>
          <w:iCs/>
        </w:rPr>
        <w:t xml:space="preserve">Although it is also supposed to stand for freedom of beliefs and political participation, laicism is most often used in Turkey to suppress Islamic political parties. </w:t>
      </w:r>
      <w:r>
        <w:rPr>
          <w:i/>
          <w:iCs/>
        </w:rPr>
        <w:t>See id.</w:t>
      </w:r>
      <w:r>
        <w:rPr>
          <w:iCs/>
        </w:rPr>
        <w:t xml:space="preserve">; </w:t>
      </w:r>
      <w:r w:rsidRPr="002128B7">
        <w:rPr>
          <w:rFonts w:cs="Times New Roman"/>
        </w:rPr>
        <w:t xml:space="preserve">Kogacioglu, </w:t>
      </w:r>
      <w:r>
        <w:rPr>
          <w:rFonts w:cs="Times New Roman"/>
          <w:i/>
        </w:rPr>
        <w:t xml:space="preserve">supra </w:t>
      </w:r>
      <w:r>
        <w:rPr>
          <w:rFonts w:cs="Times New Roman"/>
        </w:rPr>
        <w:t>note 136, at 439-40</w:t>
      </w:r>
      <w:r w:rsidRPr="002128B7">
        <w:rPr>
          <w:rFonts w:cs="Times New Roman"/>
        </w:rPr>
        <w:t>.</w:t>
      </w:r>
    </w:p>
  </w:footnote>
  <w:footnote w:id="178">
    <w:p w:rsidR="000D6203" w:rsidRPr="005345CB"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Pr>
          <w:rFonts w:cs="Times New Roman"/>
          <w:i/>
        </w:rPr>
        <w:t xml:space="preserve">See </w:t>
      </w:r>
      <w:r w:rsidRPr="002128B7">
        <w:rPr>
          <w:rFonts w:cs="Times New Roman"/>
        </w:rPr>
        <w:t xml:space="preserve">Genckaya, </w:t>
      </w:r>
      <w:r>
        <w:rPr>
          <w:rFonts w:cs="Times New Roman"/>
          <w:i/>
        </w:rPr>
        <w:t xml:space="preserve">supra </w:t>
      </w:r>
      <w:r>
        <w:rPr>
          <w:rFonts w:cs="Times New Roman"/>
        </w:rPr>
        <w:t xml:space="preserve">note 19, at 42; </w:t>
      </w:r>
      <w:r>
        <w:rPr>
          <w:rFonts w:cs="Times New Roman"/>
          <w:i/>
        </w:rPr>
        <w:t>A Narrow Scrape for Democracy; Turkey</w:t>
      </w:r>
      <w:r>
        <w:rPr>
          <w:rFonts w:cs="Times New Roman"/>
        </w:rPr>
        <w:t xml:space="preserve">, </w:t>
      </w:r>
      <w:r w:rsidRPr="005345CB">
        <w:rPr>
          <w:rFonts w:cs="Times New Roman"/>
          <w:smallCaps/>
        </w:rPr>
        <w:t>The Economist</w:t>
      </w:r>
      <w:r>
        <w:rPr>
          <w:rFonts w:cs="Times New Roman"/>
        </w:rPr>
        <w:t>, Aug. 2, 2008.</w:t>
      </w:r>
    </w:p>
  </w:footnote>
  <w:footnote w:id="179">
    <w:p w:rsidR="000D6203" w:rsidRPr="005345CB" w:rsidRDefault="000D6203" w:rsidP="00B133E5">
      <w:pPr>
        <w:pStyle w:val="FootnoteText"/>
        <w:spacing w:after="120"/>
      </w:pPr>
      <w:r>
        <w:rPr>
          <w:rStyle w:val="FootnoteReference"/>
        </w:rPr>
        <w:footnoteRef/>
      </w:r>
      <w:r>
        <w:t xml:space="preserve"> </w:t>
      </w:r>
      <w:r>
        <w:rPr>
          <w:i/>
        </w:rPr>
        <w:t xml:space="preserve">See </w:t>
      </w:r>
      <w:r>
        <w:rPr>
          <w:rFonts w:cs="Times New Roman"/>
          <w:i/>
        </w:rPr>
        <w:t xml:space="preserve">A Narrow Scrape for Democracy; Turkey supra </w:t>
      </w:r>
      <w:r>
        <w:rPr>
          <w:rFonts w:cs="Times New Roman"/>
        </w:rPr>
        <w:t>note 178.</w:t>
      </w:r>
    </w:p>
  </w:footnote>
  <w:footnote w:id="180">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Pr>
          <w:rFonts w:cs="Times New Roman"/>
          <w:i/>
        </w:rPr>
        <w:t xml:space="preserve">See </w:t>
      </w:r>
      <w:r w:rsidRPr="002128B7">
        <w:rPr>
          <w:rFonts w:cs="Times New Roman"/>
        </w:rPr>
        <w:t xml:space="preserve">Kogacioglu, </w:t>
      </w:r>
      <w:r>
        <w:rPr>
          <w:rFonts w:cs="Times New Roman"/>
          <w:i/>
        </w:rPr>
        <w:t xml:space="preserve">supra </w:t>
      </w:r>
      <w:r>
        <w:rPr>
          <w:rFonts w:cs="Times New Roman"/>
        </w:rPr>
        <w:t xml:space="preserve">note 136, at </w:t>
      </w:r>
      <w:r w:rsidRPr="002128B7">
        <w:rPr>
          <w:rFonts w:cs="Times New Roman"/>
        </w:rPr>
        <w:t>435.</w:t>
      </w:r>
    </w:p>
  </w:footnote>
  <w:footnote w:id="181">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sidRPr="009F5FB6">
        <w:rPr>
          <w:rFonts w:cs="Times New Roman"/>
          <w:smallCaps/>
        </w:rPr>
        <w:t>Turk. Const.</w:t>
      </w:r>
      <w:r w:rsidRPr="002128B7">
        <w:rPr>
          <w:rFonts w:cs="Times New Roman"/>
        </w:rPr>
        <w:t xml:space="preserve"> </w:t>
      </w:r>
      <w:r>
        <w:rPr>
          <w:rFonts w:cs="Times New Roman"/>
        </w:rPr>
        <w:t xml:space="preserve">art. 69, </w:t>
      </w:r>
      <w:r>
        <w:rPr>
          <w:rFonts w:cs="Times New Roman"/>
          <w:i/>
        </w:rPr>
        <w:t xml:space="preserve">available at </w:t>
      </w:r>
      <w:r w:rsidRPr="006D1A93">
        <w:rPr>
          <w:rFonts w:cs="Times New Roman"/>
        </w:rPr>
        <w:t>http://www.anayasa.gov.tr/images/loaded/pdf_dosyalari/THE_CONSTITUTIO</w:t>
      </w:r>
      <w:r>
        <w:rPr>
          <w:rFonts w:cs="Times New Roman"/>
        </w:rPr>
        <w:t>N_OF_THE_REPUBLIC_OF_TURKEY.pdf</w:t>
      </w:r>
      <w:r w:rsidRPr="002128B7">
        <w:rPr>
          <w:rFonts w:cs="Times New Roman"/>
        </w:rPr>
        <w:t xml:space="preserve">. "A party which has been dissolved permanently cannot be founded under another name. The members, including the founders … whose acts or statements have caused the party to be dissolved permanently cannot be founders, members, directors or supervisors in any other party for a period of five years …." </w:t>
      </w:r>
      <w:r w:rsidRPr="002128B7">
        <w:rPr>
          <w:rFonts w:cs="Times New Roman"/>
          <w:i/>
        </w:rPr>
        <w:t>Id.</w:t>
      </w:r>
    </w:p>
  </w:footnote>
  <w:footnote w:id="182">
    <w:p w:rsidR="000D6203" w:rsidRDefault="000D6203" w:rsidP="00B133E5">
      <w:pPr>
        <w:pStyle w:val="FootnoteText"/>
        <w:spacing w:after="120"/>
      </w:pPr>
      <w:r>
        <w:rPr>
          <w:rStyle w:val="FootnoteReference"/>
        </w:rPr>
        <w:footnoteRef/>
      </w:r>
      <w:r>
        <w:t xml:space="preserve"> </w:t>
      </w:r>
      <w:r>
        <w:rPr>
          <w:rFonts w:cs="Times New Roman"/>
          <w:i/>
        </w:rPr>
        <w:t xml:space="preserve">See </w:t>
      </w:r>
      <w:r w:rsidRPr="002128B7">
        <w:rPr>
          <w:rFonts w:cs="Times New Roman"/>
        </w:rPr>
        <w:t xml:space="preserve">Genckaya, </w:t>
      </w:r>
      <w:r>
        <w:rPr>
          <w:rFonts w:cs="Times New Roman"/>
          <w:i/>
        </w:rPr>
        <w:t xml:space="preserve">supra </w:t>
      </w:r>
      <w:r>
        <w:rPr>
          <w:rFonts w:cs="Times New Roman"/>
        </w:rPr>
        <w:t>note 19, at 43</w:t>
      </w:r>
      <w:r w:rsidRPr="002128B7">
        <w:rPr>
          <w:rFonts w:cs="Times New Roman"/>
        </w:rPr>
        <w:t>.</w:t>
      </w:r>
    </w:p>
  </w:footnote>
  <w:footnote w:id="183">
    <w:p w:rsidR="000D6203" w:rsidRDefault="000D6203" w:rsidP="00B133E5">
      <w:pPr>
        <w:pStyle w:val="FootnoteText"/>
        <w:spacing w:after="120"/>
      </w:pPr>
      <w:r>
        <w:rPr>
          <w:rStyle w:val="FootnoteReference"/>
        </w:rPr>
        <w:footnoteRef/>
      </w:r>
      <w:r>
        <w:t xml:space="preserve"> </w:t>
      </w:r>
      <w:r>
        <w:rPr>
          <w:rFonts w:cs="Times New Roman"/>
          <w:i/>
        </w:rPr>
        <w:t xml:space="preserve">See </w:t>
      </w:r>
      <w:r w:rsidRPr="002128B7">
        <w:rPr>
          <w:rFonts w:cs="Times New Roman"/>
        </w:rPr>
        <w:t xml:space="preserve">Kogacioglu, </w:t>
      </w:r>
      <w:r>
        <w:rPr>
          <w:rFonts w:cs="Times New Roman"/>
          <w:i/>
        </w:rPr>
        <w:t xml:space="preserve">supra </w:t>
      </w:r>
      <w:r>
        <w:rPr>
          <w:rFonts w:cs="Times New Roman"/>
        </w:rPr>
        <w:t>note 136, at 440</w:t>
      </w:r>
      <w:r w:rsidRPr="002128B7">
        <w:rPr>
          <w:rFonts w:cs="Times New Roman"/>
        </w:rPr>
        <w:t>.</w:t>
      </w:r>
    </w:p>
  </w:footnote>
  <w:footnote w:id="184">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Pr>
          <w:rFonts w:cs="Times New Roman"/>
          <w:i/>
        </w:rPr>
        <w:t xml:space="preserve">See </w:t>
      </w:r>
      <w:r w:rsidRPr="002128B7">
        <w:rPr>
          <w:rFonts w:cs="Times New Roman"/>
        </w:rPr>
        <w:t xml:space="preserve">Genckaya, </w:t>
      </w:r>
      <w:r>
        <w:rPr>
          <w:rFonts w:cs="Times New Roman"/>
          <w:i/>
        </w:rPr>
        <w:t xml:space="preserve">supra </w:t>
      </w:r>
      <w:r>
        <w:rPr>
          <w:rFonts w:cs="Times New Roman"/>
        </w:rPr>
        <w:t>note 19, at 49</w:t>
      </w:r>
      <w:r w:rsidRPr="002128B7">
        <w:rPr>
          <w:rFonts w:cs="Times New Roman"/>
        </w:rPr>
        <w:t>.</w:t>
      </w:r>
    </w:p>
  </w:footnote>
  <w:footnote w:id="185">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Pr>
          <w:rFonts w:cs="Times New Roman"/>
        </w:rPr>
        <w:t xml:space="preserve"> </w:t>
      </w:r>
      <w:r w:rsidRPr="002128B7">
        <w:rPr>
          <w:rFonts w:cs="Times New Roman"/>
        </w:rPr>
        <w:t xml:space="preserve">Rustow, </w:t>
      </w:r>
      <w:r>
        <w:rPr>
          <w:rFonts w:cs="Times New Roman"/>
          <w:i/>
        </w:rPr>
        <w:t xml:space="preserve">supra </w:t>
      </w:r>
      <w:r>
        <w:rPr>
          <w:rFonts w:cs="Times New Roman"/>
        </w:rPr>
        <w:t xml:space="preserve">note 16, at </w:t>
      </w:r>
      <w:r w:rsidRPr="002128B7">
        <w:rPr>
          <w:rFonts w:cs="Times New Roman"/>
        </w:rPr>
        <w:t>17.</w:t>
      </w:r>
    </w:p>
  </w:footnote>
  <w:footnote w:id="186">
    <w:p w:rsidR="000D6203" w:rsidRPr="00F00AB1" w:rsidRDefault="000D6203" w:rsidP="00B133E5">
      <w:pPr>
        <w:pStyle w:val="FootnoteText"/>
        <w:spacing w:after="120"/>
      </w:pPr>
      <w:r>
        <w:rPr>
          <w:rStyle w:val="FootnoteReference"/>
        </w:rPr>
        <w:footnoteRef/>
      </w:r>
      <w:r>
        <w:t xml:space="preserve"> </w:t>
      </w:r>
      <w:r>
        <w:rPr>
          <w:i/>
        </w:rPr>
        <w:t xml:space="preserve">See </w:t>
      </w:r>
      <w:r>
        <w:rPr>
          <w:rFonts w:cs="Times New Roman"/>
          <w:i/>
        </w:rPr>
        <w:t xml:space="preserve">A Narrow Scrape for Democracy; Turkey supra </w:t>
      </w:r>
      <w:r>
        <w:rPr>
          <w:rFonts w:cs="Times New Roman"/>
        </w:rPr>
        <w:t xml:space="preserve">note 178; </w:t>
      </w:r>
      <w:r>
        <w:rPr>
          <w:i/>
        </w:rPr>
        <w:t xml:space="preserve">Marching Along; Reforms in Turkey supra </w:t>
      </w:r>
      <w:r>
        <w:t>note 171.</w:t>
      </w:r>
    </w:p>
  </w:footnote>
  <w:footnote w:id="187">
    <w:p w:rsidR="000D6203" w:rsidRPr="007F30B7" w:rsidRDefault="000D6203" w:rsidP="00B133E5">
      <w:pPr>
        <w:pStyle w:val="FootnoteText"/>
        <w:spacing w:after="120"/>
      </w:pPr>
      <w:r>
        <w:rPr>
          <w:rStyle w:val="FootnoteReference"/>
        </w:rPr>
        <w:footnoteRef/>
      </w:r>
      <w:r>
        <w:t xml:space="preserve"> </w:t>
      </w:r>
      <w:r w:rsidRPr="002128B7">
        <w:rPr>
          <w:rFonts w:cs="Times New Roman"/>
          <w:i/>
        </w:rPr>
        <w:t xml:space="preserve">See </w:t>
      </w:r>
      <w:r>
        <w:rPr>
          <w:rFonts w:cs="Times New Roman"/>
          <w:smallCaps/>
        </w:rPr>
        <w:t xml:space="preserve">Akşin, </w:t>
      </w:r>
      <w:r>
        <w:rPr>
          <w:rFonts w:cs="Times New Roman"/>
          <w:i/>
        </w:rPr>
        <w:t xml:space="preserve">supra </w:t>
      </w:r>
      <w:r>
        <w:rPr>
          <w:rFonts w:cs="Times New Roman"/>
        </w:rPr>
        <w:t xml:space="preserve">note 24, at 320; </w:t>
      </w:r>
      <w:r>
        <w:rPr>
          <w:rFonts w:cs="Times New Roman"/>
          <w:i/>
        </w:rPr>
        <w:t xml:space="preserve">A Narrow Scrape for Democracy; Turkey supra </w:t>
      </w:r>
      <w:r>
        <w:rPr>
          <w:rFonts w:cs="Times New Roman"/>
        </w:rPr>
        <w:t xml:space="preserve">note 178; </w:t>
      </w:r>
      <w:r>
        <w:rPr>
          <w:rFonts w:cs="Times New Roman"/>
          <w:i/>
        </w:rPr>
        <w:t>Progress at Last</w:t>
      </w:r>
      <w:r>
        <w:rPr>
          <w:rFonts w:cs="Times New Roman"/>
        </w:rPr>
        <w:t xml:space="preserve">, </w:t>
      </w:r>
      <w:r w:rsidRPr="007F30B7">
        <w:rPr>
          <w:rFonts w:cs="Times New Roman"/>
          <w:smallCaps/>
        </w:rPr>
        <w:t>The Economist,</w:t>
      </w:r>
      <w:r>
        <w:rPr>
          <w:rFonts w:cs="Times New Roman"/>
        </w:rPr>
        <w:t xml:space="preserve"> July 29, 1995, at 37.</w:t>
      </w:r>
    </w:p>
  </w:footnote>
  <w:footnote w:id="188">
    <w:p w:rsidR="000D6203" w:rsidRPr="007F30B7" w:rsidRDefault="000D6203" w:rsidP="00B133E5">
      <w:pPr>
        <w:pStyle w:val="FootnoteText"/>
        <w:spacing w:after="120"/>
      </w:pPr>
      <w:r>
        <w:rPr>
          <w:rStyle w:val="FootnoteReference"/>
        </w:rPr>
        <w:footnoteRef/>
      </w:r>
      <w:r>
        <w:t xml:space="preserve"> </w:t>
      </w:r>
      <w:r>
        <w:rPr>
          <w:i/>
        </w:rPr>
        <w:t>See The Enduring Popularity of Recep Tayyip Erdogan</w:t>
      </w:r>
      <w:r>
        <w:t xml:space="preserve">, </w:t>
      </w:r>
      <w:r w:rsidRPr="007F30B7">
        <w:rPr>
          <w:smallCaps/>
        </w:rPr>
        <w:t>The Economist</w:t>
      </w:r>
      <w:r>
        <w:t xml:space="preserve">, Mar. 7, 2009; </w:t>
      </w:r>
      <w:r>
        <w:rPr>
          <w:i/>
        </w:rPr>
        <w:t>Turkey's Long Haul</w:t>
      </w:r>
      <w:r>
        <w:t xml:space="preserve">, </w:t>
      </w:r>
      <w:r w:rsidRPr="007F30B7">
        <w:rPr>
          <w:smallCaps/>
        </w:rPr>
        <w:t>The Economist,</w:t>
      </w:r>
      <w:r>
        <w:t xml:space="preserve"> Jan. 15, 2000.</w:t>
      </w:r>
    </w:p>
  </w:footnote>
  <w:footnote w:id="189">
    <w:p w:rsidR="000D6203" w:rsidRPr="004451F9" w:rsidRDefault="000D6203" w:rsidP="00B133E5">
      <w:pPr>
        <w:widowControl w:val="0"/>
        <w:spacing w:after="120" w:line="240" w:lineRule="auto"/>
        <w:rPr>
          <w:rFonts w:cs="Times New Roman"/>
        </w:rPr>
      </w:pPr>
      <w:r>
        <w:rPr>
          <w:rStyle w:val="FootnoteReference"/>
        </w:rPr>
        <w:footnoteRef/>
      </w:r>
      <w:r>
        <w:t xml:space="preserve"> </w:t>
      </w:r>
      <w:r>
        <w:rPr>
          <w:i/>
        </w:rPr>
        <w:t xml:space="preserve">See </w:t>
      </w:r>
      <w:r>
        <w:rPr>
          <w:rFonts w:cs="Times New Roman"/>
          <w:smallCaps/>
        </w:rPr>
        <w:t xml:space="preserve">Bauer &amp; </w:t>
      </w:r>
      <w:r w:rsidRPr="002128B7">
        <w:rPr>
          <w:rFonts w:cs="Times New Roman"/>
          <w:smallCaps/>
        </w:rPr>
        <w:t>Tay</w:t>
      </w:r>
      <w:r>
        <w:rPr>
          <w:rFonts w:cs="Times New Roman"/>
          <w:smallCaps/>
        </w:rPr>
        <w:t xml:space="preserve">lor, </w:t>
      </w:r>
      <w:r>
        <w:rPr>
          <w:rFonts w:cs="Times New Roman"/>
          <w:i/>
        </w:rPr>
        <w:t xml:space="preserve">supra </w:t>
      </w:r>
      <w:r>
        <w:rPr>
          <w:rFonts w:cs="Times New Roman"/>
        </w:rPr>
        <w:t xml:space="preserve">note 16, at 4; </w:t>
      </w:r>
      <w:r w:rsidRPr="002128B7">
        <w:rPr>
          <w:rFonts w:cs="Times New Roman"/>
          <w:smallCaps/>
        </w:rPr>
        <w:t>Robert Ross,</w:t>
      </w:r>
      <w:r w:rsidRPr="002128B7">
        <w:rPr>
          <w:rFonts w:cs="Times New Roman"/>
        </w:rPr>
        <w:t xml:space="preserve"> </w:t>
      </w:r>
      <w:r w:rsidRPr="002128B7">
        <w:rPr>
          <w:rFonts w:cs="Times New Roman"/>
          <w:smallCaps/>
        </w:rPr>
        <w:t>A Concise History of South Africa</w:t>
      </w:r>
      <w:r>
        <w:rPr>
          <w:rFonts w:cs="Times New Roman"/>
        </w:rPr>
        <w:t xml:space="preserve"> 9 (1999).</w:t>
      </w:r>
    </w:p>
  </w:footnote>
  <w:footnote w:id="190">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Pr>
          <w:rFonts w:cs="Times New Roman"/>
          <w:smallCaps/>
        </w:rPr>
        <w:t xml:space="preserve">Bauer &amp; </w:t>
      </w:r>
      <w:r w:rsidRPr="002128B7">
        <w:rPr>
          <w:rFonts w:cs="Times New Roman"/>
          <w:smallCaps/>
        </w:rPr>
        <w:t>Tay</w:t>
      </w:r>
      <w:r>
        <w:rPr>
          <w:rFonts w:cs="Times New Roman"/>
          <w:smallCaps/>
        </w:rPr>
        <w:t xml:space="preserve">lor, </w:t>
      </w:r>
      <w:r>
        <w:rPr>
          <w:rFonts w:cs="Times New Roman"/>
          <w:i/>
        </w:rPr>
        <w:t xml:space="preserve">supra </w:t>
      </w:r>
      <w:r>
        <w:rPr>
          <w:rFonts w:cs="Times New Roman"/>
        </w:rPr>
        <w:t>note 16, at 4</w:t>
      </w:r>
      <w:r w:rsidRPr="002128B7">
        <w:rPr>
          <w:rFonts w:cs="Times New Roman"/>
        </w:rPr>
        <w:t>.</w:t>
      </w:r>
    </w:p>
  </w:footnote>
  <w:footnote w:id="191">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Pr>
          <w:rFonts w:cs="Times New Roman"/>
          <w:i/>
        </w:rPr>
        <w:t xml:space="preserve">See </w:t>
      </w:r>
      <w:r w:rsidRPr="002128B7">
        <w:rPr>
          <w:rFonts w:cs="Times New Roman"/>
          <w:smallCaps/>
        </w:rPr>
        <w:t>Ross,</w:t>
      </w:r>
      <w:r w:rsidRPr="002128B7">
        <w:rPr>
          <w:rFonts w:cs="Times New Roman"/>
        </w:rPr>
        <w:t xml:space="preserve"> </w:t>
      </w:r>
      <w:r>
        <w:rPr>
          <w:rFonts w:cs="Times New Roman"/>
          <w:i/>
        </w:rPr>
        <w:t xml:space="preserve">supra </w:t>
      </w:r>
      <w:r>
        <w:rPr>
          <w:rFonts w:cs="Times New Roman"/>
        </w:rPr>
        <w:t xml:space="preserve">note 189, at </w:t>
      </w:r>
      <w:r w:rsidRPr="002128B7">
        <w:rPr>
          <w:rFonts w:cs="Times New Roman"/>
        </w:rPr>
        <w:t>9.</w:t>
      </w:r>
    </w:p>
  </w:footnote>
  <w:footnote w:id="192">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Pr>
          <w:rFonts w:cs="Times New Roman"/>
        </w:rPr>
        <w:t xml:space="preserve"> </w:t>
      </w:r>
      <w:r>
        <w:rPr>
          <w:rFonts w:cs="Times New Roman"/>
          <w:i/>
        </w:rPr>
        <w:t xml:space="preserve">See id. </w:t>
      </w:r>
      <w:r>
        <w:rPr>
          <w:rFonts w:cs="Times New Roman"/>
        </w:rPr>
        <w:t>at 9-10</w:t>
      </w:r>
      <w:r w:rsidRPr="002128B7">
        <w:rPr>
          <w:rFonts w:cs="Times New Roman"/>
        </w:rPr>
        <w:t>.</w:t>
      </w:r>
    </w:p>
  </w:footnote>
  <w:footnote w:id="193">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Pr>
          <w:rFonts w:cs="Times New Roman"/>
        </w:rPr>
        <w:t xml:space="preserve"> </w:t>
      </w:r>
      <w:r>
        <w:rPr>
          <w:rFonts w:cs="Times New Roman"/>
          <w:i/>
        </w:rPr>
        <w:t xml:space="preserve">Id. </w:t>
      </w:r>
      <w:r>
        <w:rPr>
          <w:rFonts w:cs="Times New Roman"/>
        </w:rPr>
        <w:t xml:space="preserve">at </w:t>
      </w:r>
      <w:r w:rsidRPr="002128B7">
        <w:rPr>
          <w:rFonts w:cs="Times New Roman"/>
        </w:rPr>
        <w:t>10</w:t>
      </w:r>
      <w:r>
        <w:rPr>
          <w:rFonts w:cs="Times New Roman"/>
        </w:rPr>
        <w:t>.</w:t>
      </w:r>
    </w:p>
  </w:footnote>
  <w:footnote w:id="194">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Pr>
          <w:rFonts w:cs="Times New Roman"/>
        </w:rPr>
        <w:t xml:space="preserve"> </w:t>
      </w:r>
      <w:r>
        <w:rPr>
          <w:rFonts w:cs="Times New Roman"/>
          <w:i/>
        </w:rPr>
        <w:t xml:space="preserve">Id. </w:t>
      </w:r>
      <w:r>
        <w:rPr>
          <w:rFonts w:cs="Times New Roman"/>
        </w:rPr>
        <w:t>at 12-14</w:t>
      </w:r>
      <w:r w:rsidRPr="002128B7">
        <w:rPr>
          <w:rFonts w:cs="Times New Roman"/>
        </w:rPr>
        <w:t xml:space="preserve">. "Women were thought to be dangerous to cattle, and were excluded from pastoral activities, and thus implicitly from political power." </w:t>
      </w:r>
      <w:r w:rsidRPr="002128B7">
        <w:rPr>
          <w:rFonts w:cs="Times New Roman"/>
          <w:i/>
        </w:rPr>
        <w:t xml:space="preserve">Id. </w:t>
      </w:r>
      <w:r w:rsidRPr="002128B7">
        <w:rPr>
          <w:rFonts w:cs="Times New Roman"/>
        </w:rPr>
        <w:t>at 12.</w:t>
      </w:r>
    </w:p>
  </w:footnote>
  <w:footnote w:id="195">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Pr>
          <w:rFonts w:cs="Times New Roman"/>
        </w:rPr>
        <w:t xml:space="preserve"> </w:t>
      </w:r>
      <w:r>
        <w:rPr>
          <w:rFonts w:cs="Times New Roman"/>
          <w:i/>
        </w:rPr>
        <w:t xml:space="preserve">See id. </w:t>
      </w:r>
      <w:r>
        <w:rPr>
          <w:rFonts w:cs="Times New Roman"/>
        </w:rPr>
        <w:t>at 21</w:t>
      </w:r>
      <w:r w:rsidRPr="002128B7">
        <w:rPr>
          <w:rFonts w:cs="Times New Roman"/>
        </w:rPr>
        <w:t>.</w:t>
      </w:r>
    </w:p>
  </w:footnote>
  <w:footnote w:id="196">
    <w:p w:rsidR="000D6203" w:rsidRPr="00731B31" w:rsidRDefault="000D6203" w:rsidP="00B133E5">
      <w:pPr>
        <w:widowControl w:val="0"/>
        <w:spacing w:after="120" w:line="240" w:lineRule="auto"/>
        <w:rPr>
          <w:rFonts w:cs="Times New Roman"/>
          <w:i/>
        </w:rPr>
      </w:pPr>
      <w:r w:rsidRPr="002128B7">
        <w:rPr>
          <w:rStyle w:val="FootnoteReference"/>
          <w:rFonts w:cs="Times New Roman"/>
        </w:rPr>
        <w:footnoteRef/>
      </w:r>
      <w:r>
        <w:rPr>
          <w:rFonts w:cs="Times New Roman"/>
        </w:rPr>
        <w:t xml:space="preserve"> </w:t>
      </w:r>
      <w:r>
        <w:rPr>
          <w:rFonts w:cs="Times New Roman"/>
          <w:i/>
        </w:rPr>
        <w:t>Id.</w:t>
      </w:r>
    </w:p>
  </w:footnote>
  <w:footnote w:id="197">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Pr>
          <w:rFonts w:cs="Times New Roman"/>
        </w:rPr>
        <w:t xml:space="preserve"> </w:t>
      </w:r>
      <w:r>
        <w:rPr>
          <w:rFonts w:cs="Times New Roman"/>
          <w:i/>
        </w:rPr>
        <w:t xml:space="preserve">See id. </w:t>
      </w:r>
      <w:r>
        <w:rPr>
          <w:rFonts w:cs="Times New Roman"/>
        </w:rPr>
        <w:t>at 22</w:t>
      </w:r>
      <w:r w:rsidRPr="002128B7">
        <w:rPr>
          <w:rFonts w:cs="Times New Roman"/>
        </w:rPr>
        <w:t>.</w:t>
      </w:r>
    </w:p>
  </w:footnote>
  <w:footnote w:id="198">
    <w:p w:rsidR="000D6203" w:rsidRPr="00731B31" w:rsidRDefault="000D6203" w:rsidP="00B133E5">
      <w:pPr>
        <w:widowControl w:val="0"/>
        <w:spacing w:after="120" w:line="240" w:lineRule="auto"/>
        <w:rPr>
          <w:rFonts w:cs="Times New Roman"/>
          <w:i/>
        </w:rPr>
      </w:pPr>
      <w:r w:rsidRPr="002128B7">
        <w:rPr>
          <w:rStyle w:val="FootnoteReference"/>
          <w:rFonts w:cs="Times New Roman"/>
        </w:rPr>
        <w:footnoteRef/>
      </w:r>
      <w:r>
        <w:rPr>
          <w:rFonts w:cs="Times New Roman"/>
        </w:rPr>
        <w:t xml:space="preserve"> </w:t>
      </w:r>
      <w:r>
        <w:rPr>
          <w:rFonts w:cs="Times New Roman"/>
          <w:i/>
        </w:rPr>
        <w:t>See id.</w:t>
      </w:r>
    </w:p>
  </w:footnote>
  <w:footnote w:id="199">
    <w:p w:rsidR="000D6203" w:rsidRPr="00731B31" w:rsidRDefault="000D6203" w:rsidP="00B133E5">
      <w:pPr>
        <w:widowControl w:val="0"/>
        <w:spacing w:after="120" w:line="240" w:lineRule="auto"/>
        <w:rPr>
          <w:rFonts w:cs="Times New Roman"/>
          <w:i/>
        </w:rPr>
      </w:pPr>
      <w:r w:rsidRPr="002128B7">
        <w:rPr>
          <w:rStyle w:val="FootnoteReference"/>
          <w:rFonts w:cs="Times New Roman"/>
        </w:rPr>
        <w:footnoteRef/>
      </w:r>
      <w:r>
        <w:rPr>
          <w:rFonts w:cs="Times New Roman"/>
        </w:rPr>
        <w:t xml:space="preserve"> </w:t>
      </w:r>
      <w:r>
        <w:rPr>
          <w:rFonts w:cs="Times New Roman"/>
          <w:i/>
        </w:rPr>
        <w:t>Id.</w:t>
      </w:r>
    </w:p>
  </w:footnote>
  <w:footnote w:id="200">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Pr>
          <w:rFonts w:cs="Times New Roman"/>
        </w:rPr>
        <w:t xml:space="preserve"> </w:t>
      </w:r>
      <w:r>
        <w:rPr>
          <w:rFonts w:cs="Times New Roman"/>
          <w:i/>
        </w:rPr>
        <w:t xml:space="preserve">See id. </w:t>
      </w:r>
      <w:r>
        <w:rPr>
          <w:rFonts w:cs="Times New Roman"/>
        </w:rPr>
        <w:t>at 22-23</w:t>
      </w:r>
      <w:r w:rsidRPr="002128B7">
        <w:rPr>
          <w:rFonts w:cs="Times New Roman"/>
        </w:rPr>
        <w:t>.</w:t>
      </w:r>
    </w:p>
  </w:footnote>
  <w:footnote w:id="201">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Pr>
          <w:rFonts w:cs="Times New Roman"/>
        </w:rPr>
        <w:t xml:space="preserve"> </w:t>
      </w:r>
      <w:r>
        <w:rPr>
          <w:rFonts w:cs="Times New Roman"/>
          <w:i/>
        </w:rPr>
        <w:t xml:space="preserve">See id. </w:t>
      </w:r>
      <w:r>
        <w:rPr>
          <w:rFonts w:cs="Times New Roman"/>
        </w:rPr>
        <w:t xml:space="preserve">at </w:t>
      </w:r>
      <w:r w:rsidRPr="002128B7">
        <w:rPr>
          <w:rFonts w:cs="Times New Roman"/>
        </w:rPr>
        <w:t>23.</w:t>
      </w:r>
    </w:p>
  </w:footnote>
  <w:footnote w:id="202">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Pr>
          <w:rFonts w:cs="Times New Roman"/>
        </w:rPr>
        <w:t xml:space="preserve"> </w:t>
      </w:r>
      <w:r>
        <w:rPr>
          <w:rFonts w:cs="Times New Roman"/>
          <w:i/>
        </w:rPr>
        <w:t xml:space="preserve">See id. </w:t>
      </w:r>
      <w:r>
        <w:rPr>
          <w:rFonts w:cs="Times New Roman"/>
        </w:rPr>
        <w:t xml:space="preserve">at </w:t>
      </w:r>
      <w:r w:rsidRPr="002128B7">
        <w:rPr>
          <w:rFonts w:cs="Times New Roman"/>
        </w:rPr>
        <w:t>25.</w:t>
      </w:r>
    </w:p>
  </w:footnote>
  <w:footnote w:id="203">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Pr>
          <w:rFonts w:cs="Times New Roman"/>
        </w:rPr>
        <w:t xml:space="preserve"> </w:t>
      </w:r>
      <w:r>
        <w:rPr>
          <w:rFonts w:cs="Times New Roman"/>
          <w:i/>
        </w:rPr>
        <w:t xml:space="preserve">See id. </w:t>
      </w:r>
      <w:r>
        <w:rPr>
          <w:rFonts w:cs="Times New Roman"/>
        </w:rPr>
        <w:t>at 25-26</w:t>
      </w:r>
      <w:r w:rsidRPr="002128B7">
        <w:rPr>
          <w:rFonts w:cs="Times New Roman"/>
        </w:rPr>
        <w:t>.</w:t>
      </w:r>
    </w:p>
  </w:footnote>
  <w:footnote w:id="204">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Pr>
          <w:rFonts w:cs="Times New Roman"/>
        </w:rPr>
        <w:t xml:space="preserve"> </w:t>
      </w:r>
      <w:r>
        <w:rPr>
          <w:rFonts w:cs="Times New Roman"/>
          <w:i/>
        </w:rPr>
        <w:t xml:space="preserve">See id. </w:t>
      </w:r>
      <w:r>
        <w:rPr>
          <w:rFonts w:cs="Times New Roman"/>
        </w:rPr>
        <w:t xml:space="preserve">at </w:t>
      </w:r>
      <w:r w:rsidRPr="002128B7">
        <w:rPr>
          <w:rFonts w:cs="Times New Roman"/>
        </w:rPr>
        <w:t>26.</w:t>
      </w:r>
    </w:p>
  </w:footnote>
  <w:footnote w:id="205">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Pr>
          <w:rFonts w:cs="Times New Roman"/>
          <w:i/>
        </w:rPr>
        <w:t xml:space="preserve">See id. </w:t>
      </w:r>
      <w:r>
        <w:rPr>
          <w:rFonts w:cs="Times New Roman"/>
        </w:rPr>
        <w:t xml:space="preserve">at </w:t>
      </w:r>
      <w:r w:rsidRPr="002128B7">
        <w:rPr>
          <w:rFonts w:cs="Times New Roman"/>
        </w:rPr>
        <w:t>26-31</w:t>
      </w:r>
      <w:r>
        <w:rPr>
          <w:rFonts w:cs="Times New Roman"/>
        </w:rPr>
        <w:t>.</w:t>
      </w:r>
    </w:p>
  </w:footnote>
  <w:footnote w:id="206">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Pr>
          <w:rFonts w:cs="Times New Roman"/>
          <w:i/>
        </w:rPr>
        <w:t>See id.</w:t>
      </w:r>
    </w:p>
  </w:footnote>
  <w:footnote w:id="207">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sidRPr="002128B7">
        <w:rPr>
          <w:rFonts w:cs="Times New Roman"/>
          <w:i/>
        </w:rPr>
        <w:t>See</w:t>
      </w:r>
      <w:r>
        <w:rPr>
          <w:rFonts w:cs="Times New Roman"/>
          <w:i/>
        </w:rPr>
        <w:t xml:space="preserve"> id.</w:t>
      </w:r>
    </w:p>
  </w:footnote>
  <w:footnote w:id="208">
    <w:p w:rsidR="000D6203" w:rsidRPr="00A96CF5" w:rsidRDefault="000D6203" w:rsidP="00B133E5">
      <w:pPr>
        <w:pStyle w:val="FootnoteText"/>
        <w:spacing w:after="120"/>
      </w:pPr>
      <w:r>
        <w:rPr>
          <w:rStyle w:val="FootnoteReference"/>
        </w:rPr>
        <w:footnoteRef/>
      </w:r>
      <w:r>
        <w:t xml:space="preserve"> </w:t>
      </w:r>
      <w:r>
        <w:rPr>
          <w:i/>
        </w:rPr>
        <w:t xml:space="preserve">See id. </w:t>
      </w:r>
      <w:r>
        <w:t>at 35-36.</w:t>
      </w:r>
    </w:p>
  </w:footnote>
  <w:footnote w:id="209">
    <w:p w:rsidR="000D6203" w:rsidRPr="00A96CF5" w:rsidRDefault="000D6203" w:rsidP="00B133E5">
      <w:pPr>
        <w:pStyle w:val="FootnoteText"/>
        <w:spacing w:after="120"/>
      </w:pPr>
      <w:r>
        <w:rPr>
          <w:rStyle w:val="FootnoteReference"/>
        </w:rPr>
        <w:footnoteRef/>
      </w:r>
      <w:r>
        <w:t xml:space="preserve"> </w:t>
      </w:r>
      <w:r>
        <w:rPr>
          <w:i/>
        </w:rPr>
        <w:t xml:space="preserve">Id. </w:t>
      </w:r>
      <w:r>
        <w:t>at 35.</w:t>
      </w:r>
    </w:p>
  </w:footnote>
  <w:footnote w:id="210">
    <w:p w:rsidR="000D6203" w:rsidRPr="00A96CF5" w:rsidRDefault="000D6203" w:rsidP="00B133E5">
      <w:pPr>
        <w:pStyle w:val="FootnoteText"/>
        <w:spacing w:after="120"/>
      </w:pPr>
      <w:r>
        <w:rPr>
          <w:rStyle w:val="FootnoteReference"/>
        </w:rPr>
        <w:footnoteRef/>
      </w:r>
      <w:r>
        <w:t xml:space="preserve"> </w:t>
      </w:r>
      <w:r>
        <w:rPr>
          <w:i/>
        </w:rPr>
        <w:t xml:space="preserve">See id. </w:t>
      </w:r>
      <w:r>
        <w:t>at 36.</w:t>
      </w:r>
    </w:p>
  </w:footnote>
  <w:footnote w:id="211">
    <w:p w:rsidR="000D6203" w:rsidRPr="00A96CF5" w:rsidRDefault="000D6203" w:rsidP="00B133E5">
      <w:pPr>
        <w:pStyle w:val="FootnoteText"/>
        <w:spacing w:after="120"/>
      </w:pPr>
      <w:r>
        <w:rPr>
          <w:rStyle w:val="FootnoteReference"/>
        </w:rPr>
        <w:footnoteRef/>
      </w:r>
      <w:r>
        <w:t xml:space="preserve"> </w:t>
      </w:r>
      <w:r>
        <w:rPr>
          <w:i/>
        </w:rPr>
        <w:t>See id.</w:t>
      </w:r>
    </w:p>
  </w:footnote>
  <w:footnote w:id="212">
    <w:p w:rsidR="000D6203" w:rsidRPr="00A96CF5" w:rsidRDefault="000D6203" w:rsidP="00B133E5">
      <w:pPr>
        <w:pStyle w:val="FootnoteText"/>
        <w:spacing w:after="120"/>
      </w:pPr>
      <w:r>
        <w:rPr>
          <w:rStyle w:val="FootnoteReference"/>
        </w:rPr>
        <w:footnoteRef/>
      </w:r>
      <w:r>
        <w:t xml:space="preserve"> </w:t>
      </w:r>
      <w:r>
        <w:rPr>
          <w:i/>
        </w:rPr>
        <w:t xml:space="preserve">See id. </w:t>
      </w:r>
      <w:r>
        <w:t>at 36-38.</w:t>
      </w:r>
    </w:p>
  </w:footnote>
  <w:footnote w:id="213">
    <w:p w:rsidR="000D6203" w:rsidRPr="00A96CF5" w:rsidRDefault="000D6203" w:rsidP="00B133E5">
      <w:pPr>
        <w:pStyle w:val="FootnoteText"/>
        <w:spacing w:after="120"/>
      </w:pPr>
      <w:r>
        <w:rPr>
          <w:rStyle w:val="FootnoteReference"/>
        </w:rPr>
        <w:footnoteRef/>
      </w:r>
      <w:r>
        <w:t xml:space="preserve"> </w:t>
      </w:r>
      <w:r>
        <w:rPr>
          <w:i/>
        </w:rPr>
        <w:t xml:space="preserve">See id. </w:t>
      </w:r>
      <w:r>
        <w:t>at 38-43.</w:t>
      </w:r>
    </w:p>
  </w:footnote>
  <w:footnote w:id="214">
    <w:p w:rsidR="000D6203" w:rsidRPr="00A96CF5" w:rsidRDefault="000D6203" w:rsidP="00B133E5">
      <w:pPr>
        <w:pStyle w:val="FootnoteText"/>
        <w:spacing w:after="120"/>
      </w:pPr>
      <w:r>
        <w:rPr>
          <w:rStyle w:val="FootnoteReference"/>
        </w:rPr>
        <w:footnoteRef/>
      </w:r>
      <w:r>
        <w:t xml:space="preserve"> </w:t>
      </w:r>
      <w:r>
        <w:rPr>
          <w:i/>
        </w:rPr>
        <w:t xml:space="preserve">See id. </w:t>
      </w:r>
      <w:r>
        <w:t>at 38.</w:t>
      </w:r>
    </w:p>
  </w:footnote>
  <w:footnote w:id="215">
    <w:p w:rsidR="000D6203" w:rsidRPr="00A96CF5" w:rsidRDefault="000D6203" w:rsidP="00B133E5">
      <w:pPr>
        <w:pStyle w:val="FootnoteText"/>
        <w:spacing w:after="120"/>
      </w:pPr>
      <w:r>
        <w:rPr>
          <w:rStyle w:val="FootnoteReference"/>
        </w:rPr>
        <w:footnoteRef/>
      </w:r>
      <w:r>
        <w:t xml:space="preserve"> </w:t>
      </w:r>
      <w:r>
        <w:rPr>
          <w:i/>
        </w:rPr>
        <w:t xml:space="preserve">Id. </w:t>
      </w:r>
      <w:r>
        <w:t>at 39.</w:t>
      </w:r>
    </w:p>
  </w:footnote>
  <w:footnote w:id="216">
    <w:p w:rsidR="000D6203" w:rsidRPr="00A96CF5" w:rsidRDefault="000D6203" w:rsidP="00B133E5">
      <w:pPr>
        <w:pStyle w:val="FootnoteText"/>
        <w:spacing w:after="120"/>
      </w:pPr>
      <w:r>
        <w:rPr>
          <w:rStyle w:val="FootnoteReference"/>
        </w:rPr>
        <w:footnoteRef/>
      </w:r>
      <w:r>
        <w:t xml:space="preserve"> </w:t>
      </w:r>
      <w:r>
        <w:rPr>
          <w:i/>
        </w:rPr>
        <w:t xml:space="preserve">See id. </w:t>
      </w:r>
      <w:r>
        <w:t>at 39-43.</w:t>
      </w:r>
    </w:p>
  </w:footnote>
  <w:footnote w:id="217">
    <w:p w:rsidR="000D6203" w:rsidRPr="00A96CF5" w:rsidRDefault="000D6203" w:rsidP="00B133E5">
      <w:pPr>
        <w:pStyle w:val="FootnoteText"/>
        <w:spacing w:after="120"/>
      </w:pPr>
      <w:r>
        <w:rPr>
          <w:rStyle w:val="FootnoteReference"/>
        </w:rPr>
        <w:footnoteRef/>
      </w:r>
      <w:r>
        <w:t xml:space="preserve"> </w:t>
      </w:r>
      <w:r>
        <w:rPr>
          <w:i/>
        </w:rPr>
        <w:t xml:space="preserve">See id. </w:t>
      </w:r>
      <w:r>
        <w:t>at 48-49.</w:t>
      </w:r>
    </w:p>
  </w:footnote>
  <w:footnote w:id="218">
    <w:p w:rsidR="000D6203" w:rsidRPr="0064473A" w:rsidRDefault="000D6203" w:rsidP="00B133E5">
      <w:pPr>
        <w:pStyle w:val="FootnoteText"/>
        <w:spacing w:after="120"/>
      </w:pPr>
      <w:r>
        <w:rPr>
          <w:rStyle w:val="FootnoteReference"/>
        </w:rPr>
        <w:footnoteRef/>
      </w:r>
      <w:r>
        <w:t xml:space="preserve"> </w:t>
      </w:r>
      <w:r>
        <w:rPr>
          <w:i/>
        </w:rPr>
        <w:t xml:space="preserve">See id. </w:t>
      </w:r>
      <w:r>
        <w:t>at 48.</w:t>
      </w:r>
    </w:p>
  </w:footnote>
  <w:footnote w:id="219">
    <w:p w:rsidR="000D6203" w:rsidRPr="0064473A" w:rsidRDefault="000D6203" w:rsidP="00B133E5">
      <w:pPr>
        <w:pStyle w:val="FootnoteText"/>
        <w:spacing w:after="120"/>
      </w:pPr>
      <w:r>
        <w:rPr>
          <w:rStyle w:val="FootnoteReference"/>
        </w:rPr>
        <w:footnoteRef/>
      </w:r>
      <w:r>
        <w:t xml:space="preserve"> </w:t>
      </w:r>
      <w:r>
        <w:rPr>
          <w:i/>
        </w:rPr>
        <w:t>See id.</w:t>
      </w:r>
    </w:p>
  </w:footnote>
  <w:footnote w:id="220">
    <w:p w:rsidR="000D6203" w:rsidRPr="0064473A" w:rsidRDefault="000D6203" w:rsidP="00B133E5">
      <w:pPr>
        <w:pStyle w:val="FootnoteText"/>
        <w:spacing w:after="120"/>
      </w:pPr>
      <w:r>
        <w:rPr>
          <w:rStyle w:val="FootnoteReference"/>
        </w:rPr>
        <w:footnoteRef/>
      </w:r>
      <w:r>
        <w:t xml:space="preserve"> </w:t>
      </w:r>
      <w:r>
        <w:rPr>
          <w:i/>
        </w:rPr>
        <w:t>Id.</w:t>
      </w:r>
    </w:p>
  </w:footnote>
  <w:footnote w:id="221">
    <w:p w:rsidR="000D6203" w:rsidRPr="0064473A" w:rsidRDefault="000D6203" w:rsidP="00B133E5">
      <w:pPr>
        <w:pStyle w:val="FootnoteText"/>
        <w:spacing w:after="120"/>
      </w:pPr>
      <w:r>
        <w:rPr>
          <w:rStyle w:val="FootnoteReference"/>
        </w:rPr>
        <w:footnoteRef/>
      </w:r>
      <w:r>
        <w:t xml:space="preserve"> </w:t>
      </w:r>
      <w:r>
        <w:rPr>
          <w:i/>
        </w:rPr>
        <w:t xml:space="preserve">See id. </w:t>
      </w:r>
      <w:r>
        <w:t>at 50-53.</w:t>
      </w:r>
    </w:p>
  </w:footnote>
  <w:footnote w:id="222">
    <w:p w:rsidR="000D6203" w:rsidRPr="0064473A" w:rsidRDefault="000D6203" w:rsidP="00B133E5">
      <w:pPr>
        <w:pStyle w:val="FootnoteText"/>
        <w:spacing w:after="120"/>
      </w:pPr>
      <w:r>
        <w:rPr>
          <w:rStyle w:val="FootnoteReference"/>
        </w:rPr>
        <w:footnoteRef/>
      </w:r>
      <w:r>
        <w:t xml:space="preserve"> </w:t>
      </w:r>
      <w:r>
        <w:rPr>
          <w:i/>
        </w:rPr>
        <w:t>See id.</w:t>
      </w:r>
    </w:p>
  </w:footnote>
  <w:footnote w:id="223">
    <w:p w:rsidR="000D6203" w:rsidRPr="0064473A" w:rsidRDefault="000D6203" w:rsidP="00B133E5">
      <w:pPr>
        <w:pStyle w:val="FootnoteText"/>
        <w:spacing w:after="120"/>
      </w:pPr>
      <w:r>
        <w:rPr>
          <w:rStyle w:val="FootnoteReference"/>
        </w:rPr>
        <w:footnoteRef/>
      </w:r>
      <w:r>
        <w:t xml:space="preserve"> </w:t>
      </w:r>
      <w:r>
        <w:rPr>
          <w:i/>
        </w:rPr>
        <w:t xml:space="preserve">See id. </w:t>
      </w:r>
      <w:r>
        <w:t>at 50-51.</w:t>
      </w:r>
    </w:p>
  </w:footnote>
  <w:footnote w:id="224">
    <w:p w:rsidR="000D6203" w:rsidRPr="0064473A" w:rsidRDefault="000D6203" w:rsidP="00B133E5">
      <w:pPr>
        <w:pStyle w:val="FootnoteText"/>
        <w:spacing w:after="120"/>
      </w:pPr>
      <w:r>
        <w:rPr>
          <w:rStyle w:val="FootnoteReference"/>
        </w:rPr>
        <w:footnoteRef/>
      </w:r>
      <w:r>
        <w:t xml:space="preserve"> </w:t>
      </w:r>
      <w:r>
        <w:rPr>
          <w:i/>
        </w:rPr>
        <w:t xml:space="preserve">See id. </w:t>
      </w:r>
      <w:r>
        <w:t>at 52-53.</w:t>
      </w:r>
    </w:p>
  </w:footnote>
  <w:footnote w:id="225">
    <w:p w:rsidR="000D6203" w:rsidRPr="0064473A" w:rsidRDefault="000D6203" w:rsidP="00B133E5">
      <w:pPr>
        <w:pStyle w:val="FootnoteText"/>
        <w:spacing w:after="120"/>
      </w:pPr>
      <w:r>
        <w:rPr>
          <w:rStyle w:val="FootnoteReference"/>
        </w:rPr>
        <w:footnoteRef/>
      </w:r>
      <w:r>
        <w:t xml:space="preserve"> </w:t>
      </w:r>
      <w:r>
        <w:rPr>
          <w:i/>
        </w:rPr>
        <w:t xml:space="preserve">See id. </w:t>
      </w:r>
      <w:r>
        <w:t>at 53.</w:t>
      </w:r>
    </w:p>
  </w:footnote>
  <w:footnote w:id="226">
    <w:p w:rsidR="000D6203" w:rsidRPr="0064473A" w:rsidRDefault="000D6203" w:rsidP="00B133E5">
      <w:pPr>
        <w:pStyle w:val="FootnoteText"/>
        <w:spacing w:after="120"/>
      </w:pPr>
      <w:r>
        <w:rPr>
          <w:rStyle w:val="FootnoteReference"/>
        </w:rPr>
        <w:footnoteRef/>
      </w:r>
      <w:r>
        <w:t xml:space="preserve"> </w:t>
      </w:r>
      <w:r>
        <w:rPr>
          <w:i/>
        </w:rPr>
        <w:t xml:space="preserve">See id. </w:t>
      </w:r>
      <w:r>
        <w:t>at 54.</w:t>
      </w:r>
    </w:p>
  </w:footnote>
  <w:footnote w:id="227">
    <w:p w:rsidR="000D6203" w:rsidRPr="0064473A" w:rsidRDefault="000D6203" w:rsidP="00B133E5">
      <w:pPr>
        <w:pStyle w:val="FootnoteText"/>
        <w:spacing w:after="120"/>
      </w:pPr>
      <w:r>
        <w:rPr>
          <w:rStyle w:val="FootnoteReference"/>
        </w:rPr>
        <w:footnoteRef/>
      </w:r>
      <w:r>
        <w:t xml:space="preserve"> </w:t>
      </w:r>
      <w:r>
        <w:rPr>
          <w:i/>
        </w:rPr>
        <w:t xml:space="preserve">See id. </w:t>
      </w:r>
      <w:r>
        <w:t>at 56.</w:t>
      </w:r>
    </w:p>
  </w:footnote>
  <w:footnote w:id="228">
    <w:p w:rsidR="000D6203" w:rsidRPr="0064473A" w:rsidRDefault="000D6203" w:rsidP="00B133E5">
      <w:pPr>
        <w:pStyle w:val="FootnoteText"/>
        <w:spacing w:after="120"/>
        <w:rPr>
          <w:i/>
        </w:rPr>
      </w:pPr>
      <w:r>
        <w:rPr>
          <w:rStyle w:val="FootnoteReference"/>
        </w:rPr>
        <w:footnoteRef/>
      </w:r>
      <w:r>
        <w:t xml:space="preserve"> </w:t>
      </w:r>
      <w:r>
        <w:rPr>
          <w:i/>
        </w:rPr>
        <w:t>See id.</w:t>
      </w:r>
    </w:p>
  </w:footnote>
  <w:footnote w:id="229">
    <w:p w:rsidR="000D6203" w:rsidRPr="0064473A" w:rsidRDefault="000D6203" w:rsidP="00B133E5">
      <w:pPr>
        <w:pStyle w:val="FootnoteText"/>
        <w:spacing w:after="120"/>
      </w:pPr>
      <w:r>
        <w:rPr>
          <w:rStyle w:val="FootnoteReference"/>
        </w:rPr>
        <w:footnoteRef/>
      </w:r>
      <w:r>
        <w:t xml:space="preserve"> </w:t>
      </w:r>
      <w:r>
        <w:rPr>
          <w:i/>
        </w:rPr>
        <w:t xml:space="preserve">See id. </w:t>
      </w:r>
      <w:r>
        <w:t>at 58.</w:t>
      </w:r>
    </w:p>
  </w:footnote>
  <w:footnote w:id="230">
    <w:p w:rsidR="000D6203" w:rsidRPr="00CB199A" w:rsidRDefault="000D6203" w:rsidP="00B133E5">
      <w:pPr>
        <w:pStyle w:val="FootnoteText"/>
        <w:spacing w:after="120"/>
      </w:pPr>
      <w:r>
        <w:rPr>
          <w:rStyle w:val="FootnoteReference"/>
        </w:rPr>
        <w:footnoteRef/>
      </w:r>
      <w:r>
        <w:t xml:space="preserve"> </w:t>
      </w:r>
      <w:r>
        <w:rPr>
          <w:i/>
        </w:rPr>
        <w:t xml:space="preserve">Id. </w:t>
      </w:r>
      <w:r>
        <w:t>caption at 58-59.</w:t>
      </w:r>
    </w:p>
  </w:footnote>
  <w:footnote w:id="231">
    <w:p w:rsidR="000D6203" w:rsidRPr="00CB199A" w:rsidRDefault="000D6203" w:rsidP="00B133E5">
      <w:pPr>
        <w:pStyle w:val="FootnoteText"/>
        <w:spacing w:after="120"/>
      </w:pPr>
      <w:r>
        <w:rPr>
          <w:rStyle w:val="FootnoteReference"/>
        </w:rPr>
        <w:footnoteRef/>
      </w:r>
      <w:r>
        <w:t xml:space="preserve"> </w:t>
      </w:r>
      <w:r>
        <w:rPr>
          <w:i/>
        </w:rPr>
        <w:t xml:space="preserve">See id. </w:t>
      </w:r>
      <w:r>
        <w:t>at 64-67.</w:t>
      </w:r>
    </w:p>
  </w:footnote>
  <w:footnote w:id="232">
    <w:p w:rsidR="000D6203" w:rsidRPr="00CB199A" w:rsidRDefault="000D6203" w:rsidP="00B133E5">
      <w:pPr>
        <w:pStyle w:val="FootnoteText"/>
        <w:spacing w:after="120"/>
      </w:pPr>
      <w:r>
        <w:rPr>
          <w:rStyle w:val="FootnoteReference"/>
        </w:rPr>
        <w:footnoteRef/>
      </w:r>
      <w:r>
        <w:t xml:space="preserve"> </w:t>
      </w:r>
      <w:r>
        <w:rPr>
          <w:i/>
        </w:rPr>
        <w:t>See id.</w:t>
      </w:r>
    </w:p>
  </w:footnote>
  <w:footnote w:id="233">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Pr>
          <w:i/>
        </w:rPr>
        <w:t xml:space="preserve">See </w:t>
      </w:r>
      <w:r>
        <w:rPr>
          <w:rFonts w:cs="Times New Roman"/>
          <w:smallCaps/>
        </w:rPr>
        <w:t xml:space="preserve">Bauer &amp; </w:t>
      </w:r>
      <w:r w:rsidRPr="002128B7">
        <w:rPr>
          <w:rFonts w:cs="Times New Roman"/>
          <w:smallCaps/>
        </w:rPr>
        <w:t>Tay</w:t>
      </w:r>
      <w:r>
        <w:rPr>
          <w:rFonts w:cs="Times New Roman"/>
          <w:smallCaps/>
        </w:rPr>
        <w:t xml:space="preserve">lor, </w:t>
      </w:r>
      <w:r>
        <w:rPr>
          <w:rFonts w:cs="Times New Roman"/>
          <w:i/>
        </w:rPr>
        <w:t xml:space="preserve">supra </w:t>
      </w:r>
      <w:r>
        <w:rPr>
          <w:rFonts w:cs="Times New Roman"/>
        </w:rPr>
        <w:t>note 16, at 242</w:t>
      </w:r>
      <w:r w:rsidRPr="002128B7">
        <w:rPr>
          <w:rFonts w:cs="Times New Roman"/>
        </w:rPr>
        <w:t>.</w:t>
      </w:r>
    </w:p>
  </w:footnote>
  <w:footnote w:id="234">
    <w:p w:rsidR="000D6203" w:rsidRPr="00CB199A" w:rsidRDefault="000D6203" w:rsidP="00B133E5">
      <w:pPr>
        <w:pStyle w:val="FootnoteText"/>
        <w:spacing w:after="120"/>
        <w:rPr>
          <w:i/>
        </w:rPr>
      </w:pPr>
      <w:r>
        <w:rPr>
          <w:rStyle w:val="FootnoteReference"/>
        </w:rPr>
        <w:footnoteRef/>
      </w:r>
      <w:r>
        <w:t xml:space="preserve"> </w:t>
      </w:r>
      <w:r>
        <w:rPr>
          <w:i/>
        </w:rPr>
        <w:t>See id.</w:t>
      </w:r>
      <w:r>
        <w:rPr>
          <w:rFonts w:cs="Times New Roman"/>
        </w:rPr>
        <w:t xml:space="preserve"> at 241.</w:t>
      </w:r>
    </w:p>
  </w:footnote>
  <w:footnote w:id="235">
    <w:p w:rsidR="000D6203" w:rsidRPr="00CB199A" w:rsidRDefault="000D6203" w:rsidP="00B133E5">
      <w:pPr>
        <w:pStyle w:val="FootnoteText"/>
        <w:spacing w:after="120"/>
      </w:pPr>
      <w:r>
        <w:rPr>
          <w:rStyle w:val="FootnoteReference"/>
        </w:rPr>
        <w:footnoteRef/>
      </w:r>
      <w:r>
        <w:t xml:space="preserve"> </w:t>
      </w:r>
      <w:r>
        <w:rPr>
          <w:i/>
        </w:rPr>
        <w:t xml:space="preserve">See id. </w:t>
      </w:r>
      <w:r>
        <w:t>at 241-42.</w:t>
      </w:r>
    </w:p>
  </w:footnote>
  <w:footnote w:id="236">
    <w:p w:rsidR="000D6203" w:rsidRPr="00CB199A" w:rsidRDefault="000D6203" w:rsidP="00B133E5">
      <w:pPr>
        <w:pStyle w:val="FootnoteText"/>
        <w:spacing w:after="120"/>
      </w:pPr>
      <w:r>
        <w:rPr>
          <w:rStyle w:val="FootnoteReference"/>
        </w:rPr>
        <w:footnoteRef/>
      </w:r>
      <w:r>
        <w:t xml:space="preserve"> </w:t>
      </w:r>
      <w:r>
        <w:rPr>
          <w:i/>
        </w:rPr>
        <w:t xml:space="preserve">See id. </w:t>
      </w:r>
      <w:r>
        <w:t>at 242.</w:t>
      </w:r>
    </w:p>
  </w:footnote>
  <w:footnote w:id="237">
    <w:p w:rsidR="000D6203" w:rsidRPr="00187EE2" w:rsidRDefault="000D6203" w:rsidP="00B133E5">
      <w:pPr>
        <w:widowControl w:val="0"/>
        <w:spacing w:after="120" w:line="240" w:lineRule="auto"/>
        <w:rPr>
          <w:rFonts w:cs="Times New Roman"/>
          <w:i/>
        </w:rPr>
      </w:pPr>
      <w:r w:rsidRPr="002128B7">
        <w:rPr>
          <w:rStyle w:val="FootnoteReference"/>
          <w:rFonts w:cs="Times New Roman"/>
        </w:rPr>
        <w:footnoteRef/>
      </w:r>
      <w:r>
        <w:rPr>
          <w:rFonts w:cs="Times New Roman"/>
        </w:rPr>
        <w:t xml:space="preserve"> </w:t>
      </w:r>
      <w:r>
        <w:rPr>
          <w:rFonts w:cs="Times New Roman"/>
          <w:i/>
        </w:rPr>
        <w:t>See id.</w:t>
      </w:r>
    </w:p>
  </w:footnote>
  <w:footnote w:id="238">
    <w:p w:rsidR="000D6203" w:rsidRPr="00187EE2" w:rsidRDefault="000D6203" w:rsidP="00B133E5">
      <w:pPr>
        <w:widowControl w:val="0"/>
        <w:spacing w:after="120" w:line="240" w:lineRule="auto"/>
        <w:rPr>
          <w:rFonts w:cs="Times New Roman"/>
          <w:i/>
        </w:rPr>
      </w:pPr>
      <w:r w:rsidRPr="002128B7">
        <w:rPr>
          <w:rStyle w:val="FootnoteReference"/>
          <w:rFonts w:cs="Times New Roman"/>
        </w:rPr>
        <w:footnoteRef/>
      </w:r>
      <w:r>
        <w:rPr>
          <w:rFonts w:cs="Times New Roman"/>
        </w:rPr>
        <w:t xml:space="preserve"> </w:t>
      </w:r>
      <w:r>
        <w:rPr>
          <w:rFonts w:cs="Times New Roman"/>
          <w:i/>
        </w:rPr>
        <w:t>See id.</w:t>
      </w:r>
    </w:p>
  </w:footnote>
  <w:footnote w:id="239">
    <w:p w:rsidR="000D6203" w:rsidRPr="009379DF" w:rsidRDefault="000D6203" w:rsidP="00B133E5">
      <w:pPr>
        <w:pStyle w:val="FootnoteText"/>
        <w:spacing w:after="120"/>
      </w:pPr>
      <w:r>
        <w:rPr>
          <w:rStyle w:val="FootnoteReference"/>
        </w:rPr>
        <w:footnoteRef/>
      </w:r>
      <w:r>
        <w:t xml:space="preserve"> </w:t>
      </w:r>
      <w:r>
        <w:rPr>
          <w:i/>
        </w:rPr>
        <w:t xml:space="preserve">See id. </w:t>
      </w:r>
      <w:r>
        <w:t>tbl. 9.1 at 243.</w:t>
      </w:r>
    </w:p>
  </w:footnote>
  <w:footnote w:id="240">
    <w:p w:rsidR="000D6203" w:rsidRDefault="000D6203" w:rsidP="00B133E5">
      <w:pPr>
        <w:pStyle w:val="FootnoteText"/>
        <w:spacing w:after="120"/>
      </w:pPr>
      <w:r>
        <w:rPr>
          <w:rStyle w:val="FootnoteReference"/>
        </w:rPr>
        <w:footnoteRef/>
      </w:r>
      <w:r>
        <w:t xml:space="preserve"> </w:t>
      </w:r>
      <w:r>
        <w:rPr>
          <w:i/>
        </w:rPr>
        <w:t xml:space="preserve">See id. </w:t>
      </w:r>
      <w:r>
        <w:rPr>
          <w:rFonts w:cs="Times New Roman"/>
        </w:rPr>
        <w:t>at 5</w:t>
      </w:r>
      <w:r w:rsidRPr="002128B7">
        <w:rPr>
          <w:rFonts w:cs="Times New Roman"/>
        </w:rPr>
        <w:t>.</w:t>
      </w:r>
    </w:p>
  </w:footnote>
  <w:footnote w:id="241">
    <w:p w:rsidR="000D6203" w:rsidRPr="008C7163" w:rsidRDefault="000D6203" w:rsidP="00B133E5">
      <w:pPr>
        <w:widowControl w:val="0"/>
        <w:spacing w:after="120" w:line="240" w:lineRule="auto"/>
        <w:rPr>
          <w:rFonts w:cs="Times New Roman"/>
          <w:i/>
        </w:rPr>
      </w:pPr>
      <w:r w:rsidRPr="002128B7">
        <w:rPr>
          <w:rStyle w:val="FootnoteReference"/>
          <w:rFonts w:cs="Times New Roman"/>
        </w:rPr>
        <w:footnoteRef/>
      </w:r>
      <w:r>
        <w:rPr>
          <w:rFonts w:cs="Times New Roman"/>
        </w:rPr>
        <w:t xml:space="preserve"> </w:t>
      </w:r>
      <w:r>
        <w:rPr>
          <w:rFonts w:cs="Times New Roman"/>
          <w:i/>
        </w:rPr>
        <w:t>See id.</w:t>
      </w:r>
    </w:p>
  </w:footnote>
  <w:footnote w:id="242">
    <w:p w:rsidR="000D6203" w:rsidRPr="00B209C9" w:rsidRDefault="000D6203" w:rsidP="00B133E5">
      <w:pPr>
        <w:pStyle w:val="FootnoteText"/>
        <w:spacing w:after="120"/>
        <w:rPr>
          <w:i/>
        </w:rPr>
      </w:pPr>
      <w:r>
        <w:rPr>
          <w:rStyle w:val="FootnoteReference"/>
        </w:rPr>
        <w:footnoteRef/>
      </w:r>
      <w:r>
        <w:t xml:space="preserve"> </w:t>
      </w:r>
      <w:r>
        <w:rPr>
          <w:i/>
        </w:rPr>
        <w:t>See id.</w:t>
      </w:r>
    </w:p>
  </w:footnote>
  <w:footnote w:id="243">
    <w:p w:rsidR="000D6203" w:rsidRPr="00607142" w:rsidRDefault="000D6203" w:rsidP="00B133E5">
      <w:pPr>
        <w:pStyle w:val="FootnoteText"/>
        <w:spacing w:after="120"/>
      </w:pPr>
      <w:r>
        <w:rPr>
          <w:rStyle w:val="FootnoteReference"/>
        </w:rPr>
        <w:footnoteRef/>
      </w:r>
      <w:r>
        <w:t xml:space="preserve"> </w:t>
      </w:r>
      <w:r>
        <w:rPr>
          <w:i/>
        </w:rPr>
        <w:t xml:space="preserve">See id. </w:t>
      </w:r>
      <w:r>
        <w:t>at 5, 17.</w:t>
      </w:r>
    </w:p>
  </w:footnote>
  <w:footnote w:id="244">
    <w:p w:rsidR="000D6203" w:rsidRPr="00AE38DF" w:rsidRDefault="000D6203" w:rsidP="00B133E5">
      <w:pPr>
        <w:pStyle w:val="FootnoteText"/>
        <w:spacing w:after="120"/>
      </w:pPr>
      <w:r>
        <w:rPr>
          <w:rStyle w:val="FootnoteReference"/>
        </w:rPr>
        <w:footnoteRef/>
      </w:r>
      <w:r>
        <w:t xml:space="preserve"> </w:t>
      </w:r>
      <w:r>
        <w:rPr>
          <w:i/>
        </w:rPr>
        <w:t xml:space="preserve">See id. </w:t>
      </w:r>
      <w:r>
        <w:t>at 244.</w:t>
      </w:r>
    </w:p>
  </w:footnote>
  <w:footnote w:id="245">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Tom Lodge, </w:t>
      </w:r>
      <w:r w:rsidRPr="002128B7">
        <w:rPr>
          <w:rFonts w:cs="Times New Roman"/>
          <w:i/>
        </w:rPr>
        <w:t>The Future of South Africa's Party System</w:t>
      </w:r>
      <w:r w:rsidRPr="002128B7">
        <w:rPr>
          <w:rFonts w:cs="Times New Roman"/>
        </w:rPr>
        <w:t xml:space="preserve">, </w:t>
      </w:r>
      <w:r w:rsidRPr="002128B7">
        <w:rPr>
          <w:rFonts w:cs="Times New Roman"/>
          <w:smallCaps/>
        </w:rPr>
        <w:t>J. Democracy</w:t>
      </w:r>
      <w:r>
        <w:rPr>
          <w:rFonts w:cs="Times New Roman"/>
        </w:rPr>
        <w:t>, July 2006, at 152, 153</w:t>
      </w:r>
      <w:r w:rsidRPr="002128B7">
        <w:rPr>
          <w:rFonts w:cs="Times New Roman"/>
        </w:rPr>
        <w:t>.</w:t>
      </w:r>
    </w:p>
  </w:footnote>
  <w:footnote w:id="246">
    <w:p w:rsidR="000D6203" w:rsidRPr="00607142" w:rsidRDefault="000D6203" w:rsidP="00B133E5">
      <w:pPr>
        <w:pStyle w:val="FootnoteText"/>
        <w:spacing w:after="120"/>
      </w:pPr>
      <w:r>
        <w:rPr>
          <w:rStyle w:val="FootnoteReference"/>
        </w:rPr>
        <w:footnoteRef/>
      </w:r>
      <w:r>
        <w:t xml:space="preserve"> </w:t>
      </w:r>
      <w:r>
        <w:rPr>
          <w:i/>
        </w:rPr>
        <w:t>Id.</w:t>
      </w:r>
    </w:p>
  </w:footnote>
  <w:footnote w:id="247">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Pr>
          <w:i/>
        </w:rPr>
        <w:t xml:space="preserve">See </w:t>
      </w:r>
      <w:r>
        <w:rPr>
          <w:rFonts w:cs="Times New Roman"/>
          <w:smallCaps/>
        </w:rPr>
        <w:t xml:space="preserve">Bauer &amp; </w:t>
      </w:r>
      <w:r w:rsidRPr="002128B7">
        <w:rPr>
          <w:rFonts w:cs="Times New Roman"/>
          <w:smallCaps/>
        </w:rPr>
        <w:t>Tay</w:t>
      </w:r>
      <w:r>
        <w:rPr>
          <w:rFonts w:cs="Times New Roman"/>
          <w:smallCaps/>
        </w:rPr>
        <w:t xml:space="preserve">lor, </w:t>
      </w:r>
      <w:r>
        <w:rPr>
          <w:rFonts w:cs="Times New Roman"/>
          <w:i/>
        </w:rPr>
        <w:t xml:space="preserve">supra </w:t>
      </w:r>
      <w:r>
        <w:rPr>
          <w:rFonts w:cs="Times New Roman"/>
        </w:rPr>
        <w:t>note 16, at 237</w:t>
      </w:r>
      <w:r w:rsidRPr="002128B7">
        <w:rPr>
          <w:rFonts w:cs="Times New Roman"/>
        </w:rPr>
        <w:t>.</w:t>
      </w:r>
    </w:p>
  </w:footnote>
  <w:footnote w:id="248">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Pr>
          <w:i/>
        </w:rPr>
        <w:t>See id.</w:t>
      </w:r>
      <w:r>
        <w:rPr>
          <w:rFonts w:cs="Times New Roman"/>
        </w:rPr>
        <w:t xml:space="preserve"> at 4 (footnote omitted)</w:t>
      </w:r>
      <w:r w:rsidRPr="002128B7">
        <w:rPr>
          <w:rFonts w:cs="Times New Roman"/>
        </w:rPr>
        <w:t>.</w:t>
      </w:r>
    </w:p>
  </w:footnote>
  <w:footnote w:id="249">
    <w:p w:rsidR="000D6203" w:rsidRDefault="000D6203" w:rsidP="00B133E5">
      <w:pPr>
        <w:pStyle w:val="FootnoteText"/>
        <w:spacing w:after="120"/>
      </w:pPr>
      <w:r>
        <w:rPr>
          <w:rStyle w:val="FootnoteReference"/>
        </w:rPr>
        <w:footnoteRef/>
      </w:r>
      <w:r>
        <w:t xml:space="preserve"> </w:t>
      </w:r>
      <w:r>
        <w:rPr>
          <w:rFonts w:cs="Times New Roman"/>
          <w:i/>
        </w:rPr>
        <w:t xml:space="preserve">See </w:t>
      </w:r>
      <w:r>
        <w:rPr>
          <w:rFonts w:cs="Times New Roman"/>
          <w:smallCaps/>
        </w:rPr>
        <w:t xml:space="preserve">Lindberg, </w:t>
      </w:r>
      <w:r>
        <w:rPr>
          <w:rFonts w:cs="Times New Roman"/>
          <w:i/>
        </w:rPr>
        <w:t xml:space="preserve">supra </w:t>
      </w:r>
      <w:r>
        <w:rPr>
          <w:rFonts w:cs="Times New Roman"/>
        </w:rPr>
        <w:t>note 1, app.4 at 191</w:t>
      </w:r>
      <w:r w:rsidRPr="002128B7">
        <w:rPr>
          <w:rFonts w:cs="Times New Roman"/>
        </w:rPr>
        <w:t>.</w:t>
      </w:r>
    </w:p>
  </w:footnote>
  <w:footnote w:id="250">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Pr>
          <w:rFonts w:cs="Times New Roman"/>
        </w:rPr>
        <w:t xml:space="preserve"> </w:t>
      </w:r>
      <w:r>
        <w:rPr>
          <w:rFonts w:cs="Times New Roman"/>
          <w:i/>
        </w:rPr>
        <w:t>See id.</w:t>
      </w:r>
    </w:p>
  </w:footnote>
  <w:footnote w:id="251">
    <w:p w:rsidR="000D6203" w:rsidRDefault="000D6203" w:rsidP="00B133E5">
      <w:pPr>
        <w:pStyle w:val="FootnoteText"/>
        <w:spacing w:after="120"/>
      </w:pPr>
      <w:r>
        <w:rPr>
          <w:rStyle w:val="FootnoteReference"/>
        </w:rPr>
        <w:footnoteRef/>
      </w:r>
      <w:r>
        <w:t xml:space="preserve"> </w:t>
      </w:r>
      <w:r>
        <w:rPr>
          <w:rFonts w:cs="Times New Roman"/>
          <w:i/>
        </w:rPr>
        <w:t>See id.</w:t>
      </w:r>
    </w:p>
  </w:footnote>
  <w:footnote w:id="252">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Pr>
          <w:rFonts w:cs="Times New Roman"/>
        </w:rPr>
        <w:t xml:space="preserve"> </w:t>
      </w:r>
      <w:r w:rsidRPr="002128B7">
        <w:rPr>
          <w:rFonts w:cs="Times New Roman"/>
        </w:rPr>
        <w:t xml:space="preserve">Lodge, </w:t>
      </w:r>
      <w:r>
        <w:rPr>
          <w:rFonts w:cs="Times New Roman"/>
          <w:i/>
        </w:rPr>
        <w:t xml:space="preserve">supra </w:t>
      </w:r>
      <w:r>
        <w:rPr>
          <w:rFonts w:cs="Times New Roman"/>
        </w:rPr>
        <w:t>note 245,</w:t>
      </w:r>
      <w:r w:rsidRPr="002128B7">
        <w:rPr>
          <w:rFonts w:cs="Times New Roman"/>
        </w:rPr>
        <w:t xml:space="preserve"> at 152.</w:t>
      </w:r>
    </w:p>
  </w:footnote>
  <w:footnote w:id="253">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Pr>
          <w:rFonts w:cs="Times New Roman"/>
          <w:i/>
        </w:rPr>
        <w:t>See id.</w:t>
      </w:r>
    </w:p>
  </w:footnote>
  <w:footnote w:id="254">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Pr>
          <w:rFonts w:cs="Times New Roman"/>
          <w:smallCaps/>
        </w:rPr>
        <w:t xml:space="preserve">Bauer &amp; </w:t>
      </w:r>
      <w:r w:rsidRPr="002128B7">
        <w:rPr>
          <w:rFonts w:cs="Times New Roman"/>
          <w:smallCaps/>
        </w:rPr>
        <w:t>Tay</w:t>
      </w:r>
      <w:r>
        <w:rPr>
          <w:rFonts w:cs="Times New Roman"/>
          <w:smallCaps/>
        </w:rPr>
        <w:t xml:space="preserve">lor, </w:t>
      </w:r>
      <w:r>
        <w:rPr>
          <w:rFonts w:cs="Times New Roman"/>
          <w:i/>
        </w:rPr>
        <w:t xml:space="preserve">supra </w:t>
      </w:r>
      <w:r>
        <w:rPr>
          <w:rFonts w:cs="Times New Roman"/>
        </w:rPr>
        <w:t>note 16, at 240</w:t>
      </w:r>
      <w:r w:rsidRPr="002128B7">
        <w:rPr>
          <w:rFonts w:cs="Times New Roman"/>
        </w:rPr>
        <w:t xml:space="preserve"> (citing </w:t>
      </w:r>
      <w:r w:rsidRPr="002128B7">
        <w:rPr>
          <w:rFonts w:cs="Times New Roman"/>
          <w:smallCaps/>
        </w:rPr>
        <w:t>Tom Lodge, Consolidating Democracy: South Africa's Second Popular Election</w:t>
      </w:r>
      <w:r w:rsidRPr="002128B7">
        <w:rPr>
          <w:rFonts w:cs="Times New Roman"/>
        </w:rPr>
        <w:t xml:space="preserve"> (1999) and Robert Mattes, </w:t>
      </w:r>
      <w:r w:rsidRPr="002128B7">
        <w:rPr>
          <w:rFonts w:cs="Times New Roman"/>
          <w:i/>
        </w:rPr>
        <w:t>South Africa: Democracy Without the People?</w:t>
      </w:r>
      <w:r w:rsidRPr="002128B7">
        <w:rPr>
          <w:rFonts w:cs="Times New Roman"/>
        </w:rPr>
        <w:t xml:space="preserve">, 13 </w:t>
      </w:r>
      <w:r w:rsidRPr="002128B7">
        <w:rPr>
          <w:rFonts w:cs="Times New Roman"/>
          <w:smallCaps/>
        </w:rPr>
        <w:t>J. Democracy</w:t>
      </w:r>
      <w:r>
        <w:rPr>
          <w:rFonts w:cs="Times New Roman"/>
        </w:rPr>
        <w:t xml:space="preserve"> 22</w:t>
      </w:r>
      <w:r w:rsidRPr="002128B7">
        <w:rPr>
          <w:rFonts w:cs="Times New Roman"/>
        </w:rPr>
        <w:t>, 22-36 (2002)).</w:t>
      </w:r>
    </w:p>
  </w:footnote>
  <w:footnote w:id="255">
    <w:p w:rsidR="000D6203" w:rsidRPr="002E5B82" w:rsidRDefault="000D6203" w:rsidP="00B133E5">
      <w:pPr>
        <w:pStyle w:val="FootnoteText"/>
        <w:spacing w:after="120"/>
      </w:pPr>
      <w:r>
        <w:rPr>
          <w:rStyle w:val="FootnoteReference"/>
        </w:rPr>
        <w:footnoteRef/>
      </w:r>
      <w:r>
        <w:t xml:space="preserve"> Renske Doorenspleet, </w:t>
      </w:r>
      <w:r>
        <w:rPr>
          <w:i/>
        </w:rPr>
        <w:t>Political Parties, Party Systems and Democracy in Sub-Saharan Africa</w:t>
      </w:r>
      <w:r>
        <w:t xml:space="preserve">, </w:t>
      </w:r>
      <w:r>
        <w:rPr>
          <w:i/>
        </w:rPr>
        <w:t xml:space="preserve">in </w:t>
      </w:r>
      <w:r w:rsidRPr="00FA35E1">
        <w:rPr>
          <w:smallCaps/>
        </w:rPr>
        <w:t>African Political Parties</w:t>
      </w:r>
      <w:r>
        <w:rPr>
          <w:smallCaps/>
        </w:rPr>
        <w:t xml:space="preserve"> </w:t>
      </w:r>
      <w:r>
        <w:t>169, 176, 184 (M.A. Mohamed Salih ed., 2003).</w:t>
      </w:r>
    </w:p>
  </w:footnote>
  <w:footnote w:id="256">
    <w:p w:rsidR="000D6203" w:rsidRPr="00FA35E1" w:rsidRDefault="000D6203" w:rsidP="00B133E5">
      <w:pPr>
        <w:pStyle w:val="FootnoteText"/>
        <w:spacing w:after="120"/>
      </w:pPr>
      <w:r>
        <w:rPr>
          <w:rStyle w:val="FootnoteReference"/>
        </w:rPr>
        <w:footnoteRef/>
      </w:r>
      <w:r>
        <w:t xml:space="preserve"> </w:t>
      </w:r>
      <w:r>
        <w:rPr>
          <w:i/>
        </w:rPr>
        <w:t xml:space="preserve">See id. </w:t>
      </w:r>
      <w:r>
        <w:t>at 181.</w:t>
      </w:r>
    </w:p>
  </w:footnote>
  <w:footnote w:id="257">
    <w:p w:rsidR="000D6203" w:rsidRPr="00FA35E1" w:rsidRDefault="000D6203" w:rsidP="00B133E5">
      <w:pPr>
        <w:pStyle w:val="FootnoteText"/>
        <w:spacing w:after="120"/>
      </w:pPr>
      <w:r>
        <w:rPr>
          <w:rStyle w:val="FootnoteReference"/>
        </w:rPr>
        <w:footnoteRef/>
      </w:r>
      <w:r>
        <w:t xml:space="preserve"> </w:t>
      </w:r>
      <w:r>
        <w:rPr>
          <w:i/>
        </w:rPr>
        <w:t xml:space="preserve">See id. </w:t>
      </w:r>
      <w:r>
        <w:t>at 182-83.</w:t>
      </w:r>
    </w:p>
  </w:footnote>
  <w:footnote w:id="258">
    <w:p w:rsidR="000D6203" w:rsidRPr="00A64CE6" w:rsidRDefault="000D6203" w:rsidP="00B133E5">
      <w:pPr>
        <w:pStyle w:val="FootnoteText"/>
        <w:spacing w:after="120"/>
      </w:pPr>
      <w:r>
        <w:rPr>
          <w:rStyle w:val="FootnoteReference"/>
        </w:rPr>
        <w:footnoteRef/>
      </w:r>
      <w:r>
        <w:t xml:space="preserve"> </w:t>
      </w:r>
      <w:r>
        <w:rPr>
          <w:i/>
        </w:rPr>
        <w:t>See id.</w:t>
      </w:r>
    </w:p>
  </w:footnote>
  <w:footnote w:id="259">
    <w:p w:rsidR="000D6203" w:rsidRPr="00324258" w:rsidRDefault="000D6203" w:rsidP="00B133E5">
      <w:pPr>
        <w:pStyle w:val="FootnoteText"/>
        <w:spacing w:after="120"/>
        <w:rPr>
          <w:rFonts w:cs="Times New Roman"/>
        </w:rPr>
      </w:pPr>
      <w:r>
        <w:rPr>
          <w:rStyle w:val="FootnoteReference"/>
        </w:rPr>
        <w:footnoteRef/>
      </w:r>
      <w:r>
        <w:t xml:space="preserve"> </w:t>
      </w:r>
      <w:r>
        <w:rPr>
          <w:i/>
        </w:rPr>
        <w:t xml:space="preserve">See </w:t>
      </w:r>
      <w:r w:rsidRPr="002128B7">
        <w:rPr>
          <w:rFonts w:cs="Times New Roman"/>
        </w:rPr>
        <w:t xml:space="preserve">Lodge, </w:t>
      </w:r>
      <w:r>
        <w:rPr>
          <w:rFonts w:cs="Times New Roman"/>
          <w:i/>
        </w:rPr>
        <w:t xml:space="preserve">supra </w:t>
      </w:r>
      <w:r>
        <w:rPr>
          <w:rFonts w:cs="Times New Roman"/>
        </w:rPr>
        <w:t>note 245,</w:t>
      </w:r>
      <w:r w:rsidRPr="002128B7">
        <w:rPr>
          <w:rFonts w:cs="Times New Roman"/>
        </w:rPr>
        <w:t xml:space="preserve"> at </w:t>
      </w:r>
      <w:r>
        <w:rPr>
          <w:rFonts w:cs="Times New Roman"/>
        </w:rPr>
        <w:t xml:space="preserve">153, 166 &amp; n.1 (citing Stefaans Brümmer and Sam Sole, </w:t>
      </w:r>
      <w:r w:rsidRPr="00324258">
        <w:rPr>
          <w:rFonts w:cs="Times New Roman"/>
          <w:i/>
        </w:rPr>
        <w:t>Oil-for-food Probe Ducks Politics</w:t>
      </w:r>
      <w:r>
        <w:rPr>
          <w:rFonts w:cs="Times New Roman"/>
        </w:rPr>
        <w:t>,</w:t>
      </w:r>
      <w:r w:rsidRPr="00324258">
        <w:rPr>
          <w:rFonts w:cs="Times New Roman"/>
        </w:rPr>
        <w:t xml:space="preserve"> </w:t>
      </w:r>
      <w:r w:rsidRPr="00324258">
        <w:rPr>
          <w:rFonts w:cs="Times New Roman"/>
          <w:iCs/>
          <w:smallCaps/>
        </w:rPr>
        <w:t>Mail and Guardian</w:t>
      </w:r>
      <w:r>
        <w:rPr>
          <w:rFonts w:cs="Times New Roman"/>
        </w:rPr>
        <w:t>, Feb. 17 2006).</w:t>
      </w:r>
    </w:p>
  </w:footnote>
  <w:footnote w:id="260">
    <w:p w:rsidR="000D6203" w:rsidRPr="00B213BA" w:rsidRDefault="000D6203" w:rsidP="00B133E5">
      <w:pPr>
        <w:pStyle w:val="FootnoteText"/>
        <w:spacing w:after="120"/>
      </w:pPr>
      <w:r>
        <w:rPr>
          <w:rStyle w:val="FootnoteReference"/>
        </w:rPr>
        <w:footnoteRef/>
      </w:r>
      <w:r>
        <w:t xml:space="preserve"> </w:t>
      </w:r>
      <w:r>
        <w:rPr>
          <w:i/>
        </w:rPr>
        <w:t xml:space="preserve">See </w:t>
      </w:r>
      <w:r w:rsidRPr="00B213BA">
        <w:rPr>
          <w:smallCaps/>
        </w:rPr>
        <w:t>Andrew Feinstein, After the Party: Corruption, the ANC and South Africa's Uncertain Future</w:t>
      </w:r>
      <w:r>
        <w:t xml:space="preserve"> 213 (2009).</w:t>
      </w:r>
    </w:p>
  </w:footnote>
  <w:footnote w:id="261">
    <w:p w:rsidR="000D6203" w:rsidRPr="00B213BA" w:rsidRDefault="000D6203" w:rsidP="00B133E5">
      <w:pPr>
        <w:pStyle w:val="FootnoteText"/>
        <w:spacing w:after="120"/>
      </w:pPr>
      <w:r>
        <w:rPr>
          <w:rStyle w:val="FootnoteReference"/>
        </w:rPr>
        <w:footnoteRef/>
      </w:r>
      <w:r>
        <w:t xml:space="preserve"> </w:t>
      </w:r>
      <w:r>
        <w:rPr>
          <w:i/>
        </w:rPr>
        <w:t xml:space="preserve">See </w:t>
      </w:r>
      <w:r w:rsidRPr="00B213BA">
        <w:rPr>
          <w:smallCaps/>
        </w:rPr>
        <w:t xml:space="preserve">Andrew Feinstein, </w:t>
      </w:r>
      <w:r w:rsidRPr="00AE6ED1">
        <w:rPr>
          <w:i/>
        </w:rPr>
        <w:t>supr</w:t>
      </w:r>
      <w:r>
        <w:rPr>
          <w:i/>
        </w:rPr>
        <w:t xml:space="preserve">a </w:t>
      </w:r>
      <w:r w:rsidRPr="00AE6ED1">
        <w:t>note</w:t>
      </w:r>
      <w:r>
        <w:rPr>
          <w:smallCaps/>
        </w:rPr>
        <w:t xml:space="preserve"> 260</w:t>
      </w:r>
      <w:r>
        <w:t>.</w:t>
      </w:r>
    </w:p>
  </w:footnote>
  <w:footnote w:id="262">
    <w:p w:rsidR="000D6203" w:rsidRPr="005F01D1" w:rsidRDefault="000D6203" w:rsidP="00B133E5">
      <w:pPr>
        <w:pStyle w:val="FootnoteText"/>
        <w:spacing w:after="120"/>
      </w:pPr>
      <w:r>
        <w:rPr>
          <w:rStyle w:val="FootnoteReference"/>
        </w:rPr>
        <w:footnoteRef/>
      </w:r>
      <w:r>
        <w:t xml:space="preserve"> </w:t>
      </w:r>
      <w:r>
        <w:rPr>
          <w:i/>
        </w:rPr>
        <w:t xml:space="preserve">See </w:t>
      </w:r>
      <w:r w:rsidRPr="002128B7">
        <w:rPr>
          <w:rFonts w:cs="Times New Roman"/>
        </w:rPr>
        <w:t xml:space="preserve">Lodge, </w:t>
      </w:r>
      <w:r>
        <w:rPr>
          <w:rFonts w:cs="Times New Roman"/>
          <w:i/>
        </w:rPr>
        <w:t xml:space="preserve">supra </w:t>
      </w:r>
      <w:r>
        <w:rPr>
          <w:rFonts w:cs="Times New Roman"/>
        </w:rPr>
        <w:t>note 245,</w:t>
      </w:r>
      <w:r w:rsidRPr="002128B7">
        <w:rPr>
          <w:rFonts w:cs="Times New Roman"/>
        </w:rPr>
        <w:t xml:space="preserve"> at </w:t>
      </w:r>
      <w:r>
        <w:t>162.</w:t>
      </w:r>
    </w:p>
  </w:footnote>
  <w:footnote w:id="263">
    <w:p w:rsidR="000D6203" w:rsidRDefault="000D6203" w:rsidP="00B133E5">
      <w:pPr>
        <w:pStyle w:val="FootnoteText"/>
        <w:spacing w:after="120"/>
      </w:pPr>
      <w:r>
        <w:rPr>
          <w:rStyle w:val="FootnoteReference"/>
        </w:rPr>
        <w:footnoteRef/>
      </w:r>
      <w:r>
        <w:t xml:space="preserve"> </w:t>
      </w:r>
      <w:r>
        <w:rPr>
          <w:i/>
        </w:rPr>
        <w:t xml:space="preserve">See id. </w:t>
      </w:r>
      <w:r w:rsidRPr="002128B7">
        <w:rPr>
          <w:rFonts w:cs="Times New Roman"/>
        </w:rPr>
        <w:t xml:space="preserve">at </w:t>
      </w:r>
      <w:r>
        <w:rPr>
          <w:rFonts w:cs="Times New Roman"/>
        </w:rPr>
        <w:t>155.</w:t>
      </w:r>
    </w:p>
  </w:footnote>
  <w:footnote w:id="264">
    <w:p w:rsidR="000D6203" w:rsidRPr="00C87E1B" w:rsidRDefault="000D6203" w:rsidP="00B133E5">
      <w:pPr>
        <w:pStyle w:val="FootnoteText"/>
        <w:spacing w:after="120"/>
      </w:pPr>
      <w:r>
        <w:rPr>
          <w:rStyle w:val="FootnoteReference"/>
        </w:rPr>
        <w:footnoteRef/>
      </w:r>
      <w:r>
        <w:t xml:space="preserve"> </w:t>
      </w:r>
      <w:r>
        <w:rPr>
          <w:i/>
        </w:rPr>
        <w:t xml:space="preserve">See id. </w:t>
      </w:r>
      <w:r>
        <w:t>at 155-56.</w:t>
      </w:r>
    </w:p>
  </w:footnote>
  <w:footnote w:id="265">
    <w:p w:rsidR="000D6203" w:rsidRPr="00C87E1B" w:rsidRDefault="000D6203" w:rsidP="00B133E5">
      <w:pPr>
        <w:pStyle w:val="FootnoteText"/>
        <w:spacing w:after="120"/>
        <w:rPr>
          <w:i/>
        </w:rPr>
      </w:pPr>
      <w:r>
        <w:rPr>
          <w:rStyle w:val="FootnoteReference"/>
        </w:rPr>
        <w:footnoteRef/>
      </w:r>
      <w:r>
        <w:t xml:space="preserve"> </w:t>
      </w:r>
      <w:r>
        <w:rPr>
          <w:i/>
        </w:rPr>
        <w:t>See id.</w:t>
      </w:r>
    </w:p>
  </w:footnote>
  <w:footnote w:id="266">
    <w:p w:rsidR="000D6203" w:rsidRPr="001C7766" w:rsidRDefault="000D6203" w:rsidP="00B133E5">
      <w:pPr>
        <w:pStyle w:val="FootnoteText"/>
        <w:spacing w:after="120"/>
      </w:pPr>
      <w:r>
        <w:rPr>
          <w:rStyle w:val="FootnoteReference"/>
        </w:rPr>
        <w:footnoteRef/>
      </w:r>
      <w:r>
        <w:t xml:space="preserve"> </w:t>
      </w:r>
      <w:r>
        <w:rPr>
          <w:i/>
        </w:rPr>
        <w:t xml:space="preserve">See id. </w:t>
      </w:r>
      <w:r>
        <w:t>at 158-59.</w:t>
      </w:r>
    </w:p>
  </w:footnote>
  <w:footnote w:id="267">
    <w:p w:rsidR="000D6203" w:rsidRDefault="000D6203" w:rsidP="00B133E5">
      <w:pPr>
        <w:pStyle w:val="FootnoteText"/>
        <w:spacing w:after="120"/>
      </w:pPr>
      <w:r>
        <w:rPr>
          <w:rStyle w:val="FootnoteReference"/>
        </w:rPr>
        <w:footnoteRef/>
      </w:r>
      <w:r>
        <w:t xml:space="preserve"> </w:t>
      </w:r>
      <w:r>
        <w:rPr>
          <w:i/>
        </w:rPr>
        <w:t xml:space="preserve">See id. </w:t>
      </w:r>
      <w:r>
        <w:t>at 158.</w:t>
      </w:r>
    </w:p>
  </w:footnote>
  <w:footnote w:id="268">
    <w:p w:rsidR="000D6203" w:rsidRPr="001C7766" w:rsidRDefault="000D6203" w:rsidP="00B133E5">
      <w:pPr>
        <w:pStyle w:val="FootnoteText"/>
        <w:spacing w:after="120"/>
      </w:pPr>
      <w:r>
        <w:rPr>
          <w:rStyle w:val="FootnoteReference"/>
        </w:rPr>
        <w:footnoteRef/>
      </w:r>
      <w:r>
        <w:t xml:space="preserve"> </w:t>
      </w:r>
      <w:r>
        <w:rPr>
          <w:i/>
        </w:rPr>
        <w:t xml:space="preserve">See id. </w:t>
      </w:r>
      <w:r>
        <w:t xml:space="preserve">at 158, 160 (citing Inkatha Freedom Party, </w:t>
      </w:r>
      <w:r w:rsidRPr="001C7766">
        <w:rPr>
          <w:i/>
        </w:rPr>
        <w:t>National Council Resolutions</w:t>
      </w:r>
      <w:r>
        <w:t>, National Council Meeting, July 31, 2005).</w:t>
      </w:r>
    </w:p>
  </w:footnote>
  <w:footnote w:id="269">
    <w:p w:rsidR="000D6203" w:rsidRPr="00C87E1B" w:rsidRDefault="000D6203" w:rsidP="00B133E5">
      <w:pPr>
        <w:pStyle w:val="FootnoteText"/>
        <w:spacing w:after="120"/>
      </w:pPr>
      <w:r>
        <w:rPr>
          <w:rStyle w:val="FootnoteReference"/>
        </w:rPr>
        <w:footnoteRef/>
      </w:r>
      <w:r>
        <w:t xml:space="preserve"> </w:t>
      </w:r>
      <w:r>
        <w:rPr>
          <w:i/>
        </w:rPr>
        <w:t xml:space="preserve">See id. </w:t>
      </w:r>
      <w:r>
        <w:t>at 158-59.</w:t>
      </w:r>
    </w:p>
  </w:footnote>
  <w:footnote w:id="270">
    <w:p w:rsidR="000D6203" w:rsidRDefault="000D6203" w:rsidP="00B133E5">
      <w:pPr>
        <w:pStyle w:val="FootnoteText"/>
        <w:spacing w:after="120"/>
      </w:pPr>
      <w:r>
        <w:rPr>
          <w:rStyle w:val="FootnoteReference"/>
        </w:rPr>
        <w:footnoteRef/>
      </w:r>
      <w:r>
        <w:t xml:space="preserve"> </w:t>
      </w:r>
      <w:r>
        <w:rPr>
          <w:i/>
        </w:rPr>
        <w:t>See</w:t>
      </w:r>
      <w:r w:rsidRPr="00BE1C77">
        <w:rPr>
          <w:rFonts w:cs="Times New Roman"/>
          <w:smallCaps/>
        </w:rPr>
        <w:t xml:space="preserve"> </w:t>
      </w:r>
      <w:r>
        <w:rPr>
          <w:rFonts w:cs="Times New Roman"/>
          <w:smallCaps/>
        </w:rPr>
        <w:t xml:space="preserve">Bauer &amp; </w:t>
      </w:r>
      <w:r w:rsidRPr="002128B7">
        <w:rPr>
          <w:rFonts w:cs="Times New Roman"/>
          <w:smallCaps/>
        </w:rPr>
        <w:t>Tay</w:t>
      </w:r>
      <w:r>
        <w:rPr>
          <w:rFonts w:cs="Times New Roman"/>
          <w:smallCaps/>
        </w:rPr>
        <w:t xml:space="preserve">lor, </w:t>
      </w:r>
      <w:r>
        <w:rPr>
          <w:rFonts w:cs="Times New Roman"/>
          <w:i/>
        </w:rPr>
        <w:t xml:space="preserve">supra </w:t>
      </w:r>
      <w:r>
        <w:rPr>
          <w:rFonts w:cs="Times New Roman"/>
        </w:rPr>
        <w:t>note 16, at 260-61, 272.</w:t>
      </w:r>
    </w:p>
  </w:footnote>
  <w:footnote w:id="271">
    <w:p w:rsidR="000D6203" w:rsidRPr="001F27CB" w:rsidRDefault="000D6203" w:rsidP="00B133E5">
      <w:pPr>
        <w:pStyle w:val="FootnoteText"/>
        <w:spacing w:after="120"/>
      </w:pPr>
      <w:r>
        <w:rPr>
          <w:rStyle w:val="FootnoteReference"/>
        </w:rPr>
        <w:footnoteRef/>
      </w:r>
      <w:r>
        <w:t xml:space="preserve"> </w:t>
      </w:r>
      <w:r>
        <w:rPr>
          <w:i/>
        </w:rPr>
        <w:t xml:space="preserve">See id. </w:t>
      </w:r>
      <w:r>
        <w:rPr>
          <w:rFonts w:cs="Times New Roman"/>
        </w:rPr>
        <w:t>at 272;</w:t>
      </w:r>
      <w:r>
        <w:rPr>
          <w:i/>
        </w:rPr>
        <w:t xml:space="preserve"> </w:t>
      </w:r>
      <w:r w:rsidRPr="002128B7">
        <w:rPr>
          <w:rFonts w:cs="Times New Roman"/>
        </w:rPr>
        <w:t xml:space="preserve">Lodge, </w:t>
      </w:r>
      <w:r>
        <w:rPr>
          <w:rFonts w:cs="Times New Roman"/>
          <w:i/>
        </w:rPr>
        <w:t xml:space="preserve">supra </w:t>
      </w:r>
      <w:r>
        <w:rPr>
          <w:rFonts w:cs="Times New Roman"/>
        </w:rPr>
        <w:t>note 245,</w:t>
      </w:r>
      <w:r w:rsidRPr="002128B7">
        <w:rPr>
          <w:rFonts w:cs="Times New Roman"/>
        </w:rPr>
        <w:t xml:space="preserve"> at </w:t>
      </w:r>
      <w:r>
        <w:t>153-54.</w:t>
      </w:r>
    </w:p>
  </w:footnote>
  <w:footnote w:id="272">
    <w:p w:rsidR="000D6203" w:rsidRDefault="000D6203" w:rsidP="00B133E5">
      <w:pPr>
        <w:pStyle w:val="FootnoteText"/>
        <w:spacing w:after="120"/>
      </w:pPr>
      <w:r>
        <w:rPr>
          <w:rStyle w:val="FootnoteReference"/>
        </w:rPr>
        <w:footnoteRef/>
      </w:r>
      <w:r>
        <w:t xml:space="preserve"> </w:t>
      </w:r>
      <w:r>
        <w:rPr>
          <w:i/>
        </w:rPr>
        <w:t>See</w:t>
      </w:r>
      <w:r w:rsidRPr="00BE1C77">
        <w:rPr>
          <w:rFonts w:cs="Times New Roman"/>
          <w:smallCaps/>
        </w:rPr>
        <w:t xml:space="preserve"> </w:t>
      </w:r>
      <w:r>
        <w:rPr>
          <w:rFonts w:cs="Times New Roman"/>
          <w:smallCaps/>
        </w:rPr>
        <w:t xml:space="preserve">Bauer &amp; </w:t>
      </w:r>
      <w:r w:rsidRPr="002128B7">
        <w:rPr>
          <w:rFonts w:cs="Times New Roman"/>
          <w:smallCaps/>
        </w:rPr>
        <w:t>Tay</w:t>
      </w:r>
      <w:r>
        <w:rPr>
          <w:rFonts w:cs="Times New Roman"/>
          <w:smallCaps/>
        </w:rPr>
        <w:t xml:space="preserve">lor, </w:t>
      </w:r>
      <w:r>
        <w:rPr>
          <w:rFonts w:cs="Times New Roman"/>
          <w:i/>
        </w:rPr>
        <w:t xml:space="preserve">supra </w:t>
      </w:r>
      <w:r>
        <w:rPr>
          <w:rFonts w:cs="Times New Roman"/>
        </w:rPr>
        <w:t xml:space="preserve">note 16, at 239; </w:t>
      </w:r>
      <w:r w:rsidRPr="002128B7">
        <w:rPr>
          <w:rFonts w:cs="Times New Roman"/>
        </w:rPr>
        <w:t>Jessica Piombo &amp; Lia Nijzink</w:t>
      </w:r>
      <w:r>
        <w:rPr>
          <w:rFonts w:cs="Times New Roman"/>
        </w:rPr>
        <w:t xml:space="preserve">, </w:t>
      </w:r>
      <w:r>
        <w:rPr>
          <w:rFonts w:cs="Times New Roman"/>
          <w:i/>
        </w:rPr>
        <w:t xml:space="preserve">Preface </w:t>
      </w:r>
      <w:r w:rsidRPr="00BE1C77">
        <w:rPr>
          <w:rFonts w:cs="Times New Roman"/>
        </w:rPr>
        <w:t>to</w:t>
      </w:r>
      <w:r>
        <w:rPr>
          <w:rFonts w:cs="Times New Roman"/>
        </w:rPr>
        <w:t xml:space="preserve"> </w:t>
      </w:r>
      <w:r w:rsidRPr="00341BFD">
        <w:rPr>
          <w:rFonts w:cs="Times New Roman"/>
          <w:smallCaps/>
        </w:rPr>
        <w:t>Electoral</w:t>
      </w:r>
      <w:r w:rsidRPr="002128B7">
        <w:rPr>
          <w:rFonts w:cs="Times New Roman"/>
          <w:smallCaps/>
        </w:rPr>
        <w:t xml:space="preserve"> Politics in </w:t>
      </w:r>
      <w:r>
        <w:rPr>
          <w:rFonts w:cs="Times New Roman"/>
          <w:smallCaps/>
        </w:rPr>
        <w:t>South Africa</w:t>
      </w:r>
      <w:r>
        <w:rPr>
          <w:rFonts w:cs="Times New Roman"/>
        </w:rPr>
        <w:t>, at vii</w:t>
      </w:r>
      <w:r w:rsidRPr="002128B7">
        <w:rPr>
          <w:rFonts w:cs="Times New Roman"/>
        </w:rPr>
        <w:t xml:space="preserve"> (Jessica Piombo &amp; Lia Nijzink eds., 2005)</w:t>
      </w:r>
      <w:r>
        <w:rPr>
          <w:rFonts w:cs="Times New Roman"/>
        </w:rPr>
        <w:t>.</w:t>
      </w:r>
    </w:p>
  </w:footnote>
  <w:footnote w:id="273">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Pr>
          <w:rFonts w:cs="Times New Roman"/>
          <w:i/>
        </w:rPr>
        <w:t xml:space="preserve">See </w:t>
      </w:r>
      <w:r>
        <w:rPr>
          <w:rFonts w:cs="Times New Roman"/>
        </w:rPr>
        <w:t xml:space="preserve">Steven Friedman, </w:t>
      </w:r>
      <w:r>
        <w:rPr>
          <w:rFonts w:cs="Times New Roman"/>
          <w:i/>
        </w:rPr>
        <w:t xml:space="preserve">A Voice for Some: South Africa's Ten Years of </w:t>
      </w:r>
      <w:r w:rsidRPr="00341BFD">
        <w:rPr>
          <w:rFonts w:cs="Times New Roman"/>
          <w:i/>
        </w:rPr>
        <w:t>Democracy</w:t>
      </w:r>
      <w:r>
        <w:rPr>
          <w:rFonts w:cs="Times New Roman"/>
        </w:rPr>
        <w:t xml:space="preserve">, </w:t>
      </w:r>
      <w:r>
        <w:rPr>
          <w:rFonts w:cs="Times New Roman"/>
          <w:i/>
        </w:rPr>
        <w:t>in</w:t>
      </w:r>
      <w:r>
        <w:rPr>
          <w:rFonts w:cs="Times New Roman"/>
        </w:rPr>
        <w:t xml:space="preserve"> </w:t>
      </w:r>
      <w:r w:rsidRPr="00341BFD">
        <w:rPr>
          <w:rFonts w:cs="Times New Roman"/>
          <w:smallCaps/>
        </w:rPr>
        <w:t>Electoral</w:t>
      </w:r>
      <w:r>
        <w:rPr>
          <w:rFonts w:cs="Times New Roman"/>
          <w:smallCaps/>
        </w:rPr>
        <w:t xml:space="preserve"> Politics in South Africa</w:t>
      </w:r>
      <w:r>
        <w:rPr>
          <w:rFonts w:cs="Times New Roman"/>
        </w:rPr>
        <w:t xml:space="preserve">, </w:t>
      </w:r>
      <w:r w:rsidRPr="002F4C9E">
        <w:rPr>
          <w:rFonts w:cs="Times New Roman"/>
          <w:i/>
        </w:rPr>
        <w:t>supra</w:t>
      </w:r>
      <w:r w:rsidR="002F4C9E">
        <w:rPr>
          <w:rFonts w:cs="Times New Roman"/>
        </w:rPr>
        <w:t xml:space="preserve"> note 272</w:t>
      </w:r>
      <w:r>
        <w:rPr>
          <w:rFonts w:cs="Times New Roman"/>
        </w:rPr>
        <w:t>, at 3, 4.</w:t>
      </w:r>
    </w:p>
  </w:footnote>
  <w:footnote w:id="274">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Pr>
          <w:i/>
        </w:rPr>
        <w:t xml:space="preserve">See </w:t>
      </w:r>
      <w:r>
        <w:rPr>
          <w:rFonts w:cs="Times New Roman"/>
          <w:smallCaps/>
        </w:rPr>
        <w:t xml:space="preserve">Bauer &amp; </w:t>
      </w:r>
      <w:r w:rsidRPr="002128B7">
        <w:rPr>
          <w:rFonts w:cs="Times New Roman"/>
          <w:smallCaps/>
        </w:rPr>
        <w:t>Tay</w:t>
      </w:r>
      <w:r>
        <w:rPr>
          <w:rFonts w:cs="Times New Roman"/>
          <w:smallCaps/>
        </w:rPr>
        <w:t xml:space="preserve">lor, </w:t>
      </w:r>
      <w:r>
        <w:rPr>
          <w:rFonts w:cs="Times New Roman"/>
          <w:i/>
        </w:rPr>
        <w:t xml:space="preserve">supra </w:t>
      </w:r>
      <w:r>
        <w:rPr>
          <w:rFonts w:cs="Times New Roman"/>
        </w:rPr>
        <w:t>note 16, at 239</w:t>
      </w:r>
      <w:r w:rsidRPr="002128B7">
        <w:rPr>
          <w:rFonts w:cs="Times New Roman"/>
        </w:rPr>
        <w:t>.</w:t>
      </w:r>
    </w:p>
  </w:footnote>
  <w:footnote w:id="275">
    <w:p w:rsidR="000D6203" w:rsidRPr="00512109" w:rsidRDefault="000D6203" w:rsidP="00B133E5">
      <w:pPr>
        <w:pStyle w:val="FootnoteText"/>
        <w:spacing w:after="120"/>
      </w:pPr>
      <w:r>
        <w:rPr>
          <w:rStyle w:val="FootnoteReference"/>
        </w:rPr>
        <w:footnoteRef/>
      </w:r>
      <w:r>
        <w:t xml:space="preserve"> </w:t>
      </w:r>
      <w:r>
        <w:rPr>
          <w:i/>
        </w:rPr>
        <w:t xml:space="preserve">See id. </w:t>
      </w:r>
      <w:r>
        <w:t>at 4.</w:t>
      </w:r>
    </w:p>
  </w:footnote>
  <w:footnote w:id="276">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Pr>
          <w:i/>
        </w:rPr>
        <w:t xml:space="preserve">See id. </w:t>
      </w:r>
      <w:r>
        <w:rPr>
          <w:rFonts w:cs="Times New Roman"/>
        </w:rPr>
        <w:t>at 239</w:t>
      </w:r>
      <w:r w:rsidRPr="002128B7">
        <w:rPr>
          <w:rFonts w:cs="Times New Roman"/>
        </w:rPr>
        <w:t>.</w:t>
      </w:r>
    </w:p>
  </w:footnote>
  <w:footnote w:id="277">
    <w:p w:rsidR="000D6203" w:rsidRDefault="000D6203" w:rsidP="00B133E5">
      <w:pPr>
        <w:pStyle w:val="FootnoteText"/>
        <w:spacing w:after="120"/>
      </w:pPr>
      <w:r>
        <w:rPr>
          <w:rStyle w:val="FootnoteReference"/>
        </w:rPr>
        <w:footnoteRef/>
      </w:r>
      <w:r>
        <w:t xml:space="preserve"> </w:t>
      </w:r>
      <w:r>
        <w:rPr>
          <w:i/>
        </w:rPr>
        <w:t xml:space="preserve">See </w:t>
      </w:r>
      <w:r w:rsidRPr="002128B7">
        <w:rPr>
          <w:rFonts w:cs="Times New Roman"/>
        </w:rPr>
        <w:t xml:space="preserve">Lodge, </w:t>
      </w:r>
      <w:r>
        <w:rPr>
          <w:rFonts w:cs="Times New Roman"/>
          <w:i/>
        </w:rPr>
        <w:t xml:space="preserve">supra </w:t>
      </w:r>
      <w:r>
        <w:rPr>
          <w:rFonts w:cs="Times New Roman"/>
        </w:rPr>
        <w:t>note 245,</w:t>
      </w:r>
      <w:r w:rsidRPr="002128B7">
        <w:rPr>
          <w:rFonts w:cs="Times New Roman"/>
        </w:rPr>
        <w:t xml:space="preserve"> at</w:t>
      </w:r>
      <w:r>
        <w:rPr>
          <w:rFonts w:cs="Times New Roman"/>
        </w:rPr>
        <w:t xml:space="preserve"> 160-61.</w:t>
      </w:r>
    </w:p>
  </w:footnote>
  <w:footnote w:id="278">
    <w:p w:rsidR="000D6203" w:rsidRPr="002209EE" w:rsidRDefault="000D6203" w:rsidP="00B133E5">
      <w:pPr>
        <w:pStyle w:val="FootnoteText"/>
        <w:spacing w:after="120"/>
        <w:rPr>
          <w:i/>
        </w:rPr>
      </w:pPr>
      <w:r>
        <w:rPr>
          <w:rStyle w:val="FootnoteReference"/>
        </w:rPr>
        <w:footnoteRef/>
      </w:r>
      <w:r>
        <w:t xml:space="preserve"> </w:t>
      </w:r>
      <w:r>
        <w:rPr>
          <w:i/>
        </w:rPr>
        <w:t>See id.</w:t>
      </w:r>
    </w:p>
  </w:footnote>
  <w:footnote w:id="279">
    <w:p w:rsidR="000D6203" w:rsidRPr="002209EE" w:rsidRDefault="000D6203" w:rsidP="00B133E5">
      <w:pPr>
        <w:pStyle w:val="FootnoteText"/>
        <w:spacing w:after="120"/>
        <w:rPr>
          <w:i/>
        </w:rPr>
      </w:pPr>
      <w:r>
        <w:rPr>
          <w:rStyle w:val="FootnoteReference"/>
        </w:rPr>
        <w:footnoteRef/>
      </w:r>
      <w:r>
        <w:t xml:space="preserve"> </w:t>
      </w:r>
      <w:r>
        <w:rPr>
          <w:i/>
        </w:rPr>
        <w:t>See id.</w:t>
      </w:r>
    </w:p>
  </w:footnote>
  <w:footnote w:id="280">
    <w:p w:rsidR="000D6203" w:rsidRPr="002209EE" w:rsidRDefault="000D6203" w:rsidP="00B133E5">
      <w:pPr>
        <w:pStyle w:val="FootnoteText"/>
        <w:spacing w:after="120"/>
      </w:pPr>
      <w:r>
        <w:rPr>
          <w:rStyle w:val="FootnoteReference"/>
        </w:rPr>
        <w:footnoteRef/>
      </w:r>
      <w:r>
        <w:t xml:space="preserve"> </w:t>
      </w:r>
      <w:r>
        <w:rPr>
          <w:i/>
        </w:rPr>
        <w:t xml:space="preserve">See id. </w:t>
      </w:r>
      <w:r>
        <w:t>at 162.</w:t>
      </w:r>
    </w:p>
  </w:footnote>
  <w:footnote w:id="281">
    <w:p w:rsidR="000D6203" w:rsidRPr="002209EE" w:rsidRDefault="000D6203" w:rsidP="00B133E5">
      <w:pPr>
        <w:pStyle w:val="FootnoteText"/>
        <w:spacing w:after="120"/>
        <w:rPr>
          <w:i/>
        </w:rPr>
      </w:pPr>
      <w:r>
        <w:rPr>
          <w:rStyle w:val="FootnoteReference"/>
        </w:rPr>
        <w:footnoteRef/>
      </w:r>
      <w:r>
        <w:t xml:space="preserve"> </w:t>
      </w:r>
      <w:r>
        <w:rPr>
          <w:i/>
        </w:rPr>
        <w:t xml:space="preserve">See id. </w:t>
      </w:r>
      <w:r>
        <w:t>at 164. "</w:t>
      </w:r>
      <w:r w:rsidRPr="002209EE">
        <w:t>Paradoxically, dominant-party politics may provide a protected space to nurture a more competitive system."</w:t>
      </w:r>
      <w:r>
        <w:t xml:space="preserve"> </w:t>
      </w:r>
      <w:r>
        <w:rPr>
          <w:i/>
        </w:rPr>
        <w:t>Id.</w:t>
      </w:r>
    </w:p>
  </w:footnote>
  <w:footnote w:id="282">
    <w:p w:rsidR="000D6203" w:rsidRPr="002209EE" w:rsidRDefault="000D6203" w:rsidP="00B133E5">
      <w:pPr>
        <w:pStyle w:val="FootnoteText"/>
        <w:spacing w:after="120"/>
      </w:pPr>
      <w:r>
        <w:rPr>
          <w:rStyle w:val="FootnoteReference"/>
        </w:rPr>
        <w:footnoteRef/>
      </w:r>
      <w:r>
        <w:t xml:space="preserve"> </w:t>
      </w:r>
      <w:r>
        <w:rPr>
          <w:i/>
        </w:rPr>
        <w:t xml:space="preserve">See id. </w:t>
      </w:r>
      <w:r>
        <w:t>at 165.</w:t>
      </w:r>
    </w:p>
  </w:footnote>
  <w:footnote w:id="283">
    <w:p w:rsidR="000D6203" w:rsidRPr="002209EE" w:rsidRDefault="000D6203" w:rsidP="00B133E5">
      <w:pPr>
        <w:pStyle w:val="FootnoteText"/>
        <w:spacing w:after="120"/>
        <w:rPr>
          <w:i/>
        </w:rPr>
      </w:pPr>
      <w:r>
        <w:rPr>
          <w:rStyle w:val="FootnoteReference"/>
        </w:rPr>
        <w:footnoteRef/>
      </w:r>
      <w:r>
        <w:t xml:space="preserve"> </w:t>
      </w:r>
      <w:r>
        <w:rPr>
          <w:i/>
        </w:rPr>
        <w:t>See id.</w:t>
      </w:r>
    </w:p>
  </w:footnote>
  <w:footnote w:id="284">
    <w:p w:rsidR="000D6203" w:rsidRDefault="000D6203" w:rsidP="00B133E5">
      <w:pPr>
        <w:pStyle w:val="FootnoteText"/>
        <w:spacing w:after="120"/>
      </w:pPr>
      <w:r>
        <w:rPr>
          <w:rStyle w:val="FootnoteReference"/>
        </w:rPr>
        <w:footnoteRef/>
      </w:r>
      <w:r>
        <w:t xml:space="preserve"> </w:t>
      </w:r>
      <w:r w:rsidR="002F4C9E">
        <w:rPr>
          <w:i/>
        </w:rPr>
        <w:t xml:space="preserve">See id. </w:t>
      </w:r>
      <w:r w:rsidRPr="002128B7">
        <w:rPr>
          <w:rFonts w:cs="Times New Roman"/>
        </w:rPr>
        <w:t>at</w:t>
      </w:r>
      <w:r>
        <w:rPr>
          <w:rFonts w:cs="Times New Roman"/>
        </w:rPr>
        <w:t xml:space="preserve"> 154-55.</w:t>
      </w:r>
    </w:p>
  </w:footnote>
  <w:footnote w:id="285">
    <w:p w:rsidR="000D6203" w:rsidRPr="00324258" w:rsidRDefault="000D6203" w:rsidP="00B133E5">
      <w:pPr>
        <w:pStyle w:val="FootnoteText"/>
        <w:spacing w:after="120"/>
        <w:rPr>
          <w:i/>
        </w:rPr>
      </w:pPr>
      <w:r>
        <w:rPr>
          <w:rStyle w:val="FootnoteReference"/>
        </w:rPr>
        <w:footnoteRef/>
      </w:r>
      <w:r>
        <w:t xml:space="preserve"> </w:t>
      </w:r>
      <w:r>
        <w:rPr>
          <w:i/>
        </w:rPr>
        <w:t>See id.</w:t>
      </w:r>
    </w:p>
  </w:footnote>
  <w:footnote w:id="286">
    <w:p w:rsidR="000D6203" w:rsidRPr="004C5482" w:rsidRDefault="000D6203" w:rsidP="00B133E5">
      <w:pPr>
        <w:pStyle w:val="FootnoteText"/>
        <w:spacing w:after="120"/>
      </w:pPr>
      <w:r>
        <w:rPr>
          <w:rStyle w:val="FootnoteReference"/>
        </w:rPr>
        <w:footnoteRef/>
      </w:r>
      <w:r>
        <w:t xml:space="preserve"> </w:t>
      </w:r>
      <w:r>
        <w:rPr>
          <w:i/>
        </w:rPr>
        <w:t xml:space="preserve">See id. </w:t>
      </w:r>
      <w:r>
        <w:t>at 165.</w:t>
      </w:r>
    </w:p>
  </w:footnote>
  <w:footnote w:id="287">
    <w:p w:rsidR="000D6203" w:rsidRPr="00CB612B" w:rsidRDefault="000D6203" w:rsidP="00B133E5">
      <w:pPr>
        <w:pStyle w:val="FootnoteText"/>
        <w:spacing w:after="120"/>
      </w:pPr>
      <w:r>
        <w:rPr>
          <w:rStyle w:val="FootnoteReference"/>
        </w:rPr>
        <w:footnoteRef/>
      </w:r>
      <w:r>
        <w:t xml:space="preserve"> </w:t>
      </w:r>
      <w:r>
        <w:rPr>
          <w:i/>
        </w:rPr>
        <w:t xml:space="preserve">See id. </w:t>
      </w:r>
      <w:r>
        <w:t>at 159.</w:t>
      </w:r>
    </w:p>
  </w:footnote>
  <w:footnote w:id="288">
    <w:p w:rsidR="000D6203" w:rsidRPr="004C5482" w:rsidRDefault="000D6203" w:rsidP="00B133E5">
      <w:pPr>
        <w:pStyle w:val="FootnoteText"/>
        <w:spacing w:after="120"/>
      </w:pPr>
      <w:r>
        <w:rPr>
          <w:rStyle w:val="FootnoteReference"/>
        </w:rPr>
        <w:footnoteRef/>
      </w:r>
      <w:r>
        <w:t xml:space="preserve"> </w:t>
      </w:r>
      <w:r>
        <w:rPr>
          <w:i/>
        </w:rPr>
        <w:t xml:space="preserve">See id. </w:t>
      </w:r>
      <w:r>
        <w:t>at 161-62.</w:t>
      </w:r>
    </w:p>
  </w:footnote>
  <w:footnote w:id="289">
    <w:p w:rsidR="000D6203" w:rsidRPr="001C6BB1" w:rsidRDefault="000D6203" w:rsidP="00B133E5">
      <w:pPr>
        <w:pStyle w:val="FootnoteText"/>
        <w:spacing w:after="120"/>
      </w:pPr>
      <w:r>
        <w:rPr>
          <w:rStyle w:val="FootnoteReference"/>
        </w:rPr>
        <w:footnoteRef/>
      </w:r>
      <w:r>
        <w:t xml:space="preserve"> </w:t>
      </w:r>
      <w:r>
        <w:rPr>
          <w:i/>
        </w:rPr>
        <w:t xml:space="preserve">See id. </w:t>
      </w:r>
      <w:r>
        <w:t>at 160-61.</w:t>
      </w:r>
    </w:p>
  </w:footnote>
  <w:footnote w:id="290">
    <w:p w:rsidR="000D6203" w:rsidRPr="005F01D1" w:rsidRDefault="000D6203" w:rsidP="00B133E5">
      <w:pPr>
        <w:pStyle w:val="FootnoteText"/>
        <w:spacing w:after="120"/>
        <w:rPr>
          <w:i/>
        </w:rPr>
      </w:pPr>
      <w:r>
        <w:rPr>
          <w:rStyle w:val="FootnoteReference"/>
        </w:rPr>
        <w:footnoteRef/>
      </w:r>
      <w:r>
        <w:t xml:space="preserve"> </w:t>
      </w:r>
      <w:r>
        <w:rPr>
          <w:i/>
        </w:rPr>
        <w:t>See id.</w:t>
      </w:r>
    </w:p>
  </w:footnote>
  <w:footnote w:id="291">
    <w:p w:rsidR="000D6203" w:rsidRPr="00022274" w:rsidRDefault="000D6203" w:rsidP="00B133E5">
      <w:pPr>
        <w:pStyle w:val="FootnoteText"/>
        <w:spacing w:after="120"/>
      </w:pPr>
      <w:r>
        <w:rPr>
          <w:rStyle w:val="FootnoteReference"/>
        </w:rPr>
        <w:footnoteRef/>
      </w:r>
      <w:r>
        <w:t xml:space="preserve"> </w:t>
      </w:r>
      <w:r>
        <w:rPr>
          <w:i/>
        </w:rPr>
        <w:t xml:space="preserve">See id. </w:t>
      </w:r>
      <w:r>
        <w:t>at 155.</w:t>
      </w:r>
    </w:p>
  </w:footnote>
  <w:footnote w:id="292">
    <w:p w:rsidR="000D6203" w:rsidRPr="00F210A9" w:rsidRDefault="000D6203" w:rsidP="00B133E5">
      <w:pPr>
        <w:pStyle w:val="FootnoteText"/>
        <w:spacing w:after="120"/>
      </w:pPr>
      <w:r>
        <w:rPr>
          <w:rStyle w:val="FootnoteReference"/>
        </w:rPr>
        <w:footnoteRef/>
      </w:r>
      <w:r>
        <w:t xml:space="preserve"> </w:t>
      </w:r>
      <w:r>
        <w:rPr>
          <w:i/>
        </w:rPr>
        <w:t>See id.</w:t>
      </w:r>
    </w:p>
  </w:footnote>
  <w:footnote w:id="293">
    <w:p w:rsidR="000D6203" w:rsidRPr="00F210A9" w:rsidRDefault="000D6203" w:rsidP="00B133E5">
      <w:pPr>
        <w:pStyle w:val="FootnoteText"/>
        <w:spacing w:after="120"/>
        <w:rPr>
          <w:i/>
        </w:rPr>
      </w:pPr>
      <w:r>
        <w:rPr>
          <w:rStyle w:val="FootnoteReference"/>
        </w:rPr>
        <w:footnoteRef/>
      </w:r>
      <w:r>
        <w:t xml:space="preserve"> </w:t>
      </w:r>
      <w:r>
        <w:rPr>
          <w:i/>
        </w:rPr>
        <w:t>See id.</w:t>
      </w:r>
    </w:p>
  </w:footnote>
  <w:footnote w:id="294">
    <w:p w:rsidR="000D6203" w:rsidRPr="004C5482" w:rsidRDefault="000D6203" w:rsidP="00B133E5">
      <w:pPr>
        <w:pStyle w:val="FootnoteText"/>
        <w:spacing w:after="120"/>
      </w:pPr>
      <w:r>
        <w:rPr>
          <w:rStyle w:val="FootnoteReference"/>
        </w:rPr>
        <w:footnoteRef/>
      </w:r>
      <w:r>
        <w:t xml:space="preserve"> </w:t>
      </w:r>
      <w:r>
        <w:rPr>
          <w:i/>
        </w:rPr>
        <w:t xml:space="preserve">See id. </w:t>
      </w:r>
      <w:r>
        <w:t>at 165.</w:t>
      </w:r>
    </w:p>
  </w:footnote>
  <w:footnote w:id="295">
    <w:p w:rsidR="000D6203" w:rsidRPr="00742AFB" w:rsidRDefault="000D6203" w:rsidP="00B133E5">
      <w:pPr>
        <w:pStyle w:val="FootnoteText"/>
        <w:spacing w:after="120"/>
      </w:pPr>
      <w:r>
        <w:rPr>
          <w:rStyle w:val="FootnoteReference"/>
        </w:rPr>
        <w:footnoteRef/>
      </w:r>
      <w:r>
        <w:t xml:space="preserve"> </w:t>
      </w:r>
      <w:r>
        <w:rPr>
          <w:i/>
        </w:rPr>
        <w:t xml:space="preserve">See id. </w:t>
      </w:r>
      <w:r>
        <w:t>at 154-55, 160.</w:t>
      </w:r>
    </w:p>
  </w:footnote>
  <w:footnote w:id="296">
    <w:p w:rsidR="000D6203" w:rsidRPr="00FC45AE" w:rsidRDefault="000D6203" w:rsidP="00B133E5">
      <w:pPr>
        <w:pStyle w:val="FootnoteText"/>
        <w:spacing w:after="120"/>
      </w:pPr>
      <w:r>
        <w:rPr>
          <w:rStyle w:val="FootnoteReference"/>
        </w:rPr>
        <w:footnoteRef/>
      </w:r>
      <w:r>
        <w:t xml:space="preserve"> </w:t>
      </w:r>
      <w:r>
        <w:rPr>
          <w:i/>
        </w:rPr>
        <w:t xml:space="preserve">See id. </w:t>
      </w:r>
      <w:r>
        <w:t>at</w:t>
      </w:r>
      <w:r w:rsidR="002F4C9E">
        <w:t xml:space="preserve"> </w:t>
      </w:r>
      <w:r>
        <w:t>162-63.</w:t>
      </w:r>
    </w:p>
  </w:footnote>
  <w:footnote w:id="297">
    <w:p w:rsidR="000D6203" w:rsidRDefault="000D6203" w:rsidP="00B133E5">
      <w:pPr>
        <w:pStyle w:val="FootnoteText"/>
        <w:spacing w:after="120"/>
      </w:pPr>
      <w:r>
        <w:rPr>
          <w:rStyle w:val="FootnoteReference"/>
        </w:rPr>
        <w:footnoteRef/>
      </w:r>
      <w:r>
        <w:t xml:space="preserve"> </w:t>
      </w:r>
      <w:r>
        <w:rPr>
          <w:i/>
        </w:rPr>
        <w:t>See</w:t>
      </w:r>
      <w:r w:rsidRPr="00BE1C77">
        <w:rPr>
          <w:rFonts w:cs="Times New Roman"/>
          <w:smallCaps/>
        </w:rPr>
        <w:t xml:space="preserve"> </w:t>
      </w:r>
      <w:r w:rsidRPr="009F5FB6">
        <w:rPr>
          <w:rFonts w:cs="Times New Roman"/>
          <w:smallCaps/>
        </w:rPr>
        <w:t>S. Afr. Const.</w:t>
      </w:r>
      <w:r w:rsidRPr="009D4584">
        <w:rPr>
          <w:rFonts w:cs="Times New Roman"/>
        </w:rPr>
        <w:t xml:space="preserve"> 1996</w:t>
      </w:r>
      <w:r>
        <w:rPr>
          <w:rFonts w:cs="Times New Roman"/>
        </w:rPr>
        <w:t xml:space="preserve">, ch. 2, § 19(1), </w:t>
      </w:r>
      <w:r>
        <w:rPr>
          <w:rFonts w:cs="Times New Roman"/>
          <w:i/>
        </w:rPr>
        <w:t xml:space="preserve">available at </w:t>
      </w:r>
      <w:r w:rsidRPr="00DE4BD2">
        <w:rPr>
          <w:rFonts w:cs="Times New Roman"/>
        </w:rPr>
        <w:t>http://www.info.gov.za/documents/constitution/1996/96cons2.htm#19</w:t>
      </w:r>
      <w:r>
        <w:rPr>
          <w:rFonts w:cs="Times New Roman"/>
        </w:rPr>
        <w:t xml:space="preserve">; </w:t>
      </w:r>
      <w:r w:rsidRPr="009F5FB6">
        <w:rPr>
          <w:rFonts w:cs="Times New Roman"/>
          <w:smallCaps/>
        </w:rPr>
        <w:t xml:space="preserve">S. Afr. </w:t>
      </w:r>
      <w:r>
        <w:rPr>
          <w:rFonts w:cs="Times New Roman"/>
          <w:smallCaps/>
        </w:rPr>
        <w:t>(</w:t>
      </w:r>
      <w:r w:rsidRPr="00DE4BD2">
        <w:rPr>
          <w:rFonts w:cs="Times New Roman"/>
        </w:rPr>
        <w:t>Interim</w:t>
      </w:r>
      <w:r>
        <w:rPr>
          <w:rFonts w:cs="Times New Roman"/>
          <w:smallCaps/>
        </w:rPr>
        <w:t xml:space="preserve">) </w:t>
      </w:r>
      <w:r w:rsidRPr="009F5FB6">
        <w:rPr>
          <w:rFonts w:cs="Times New Roman"/>
          <w:smallCaps/>
        </w:rPr>
        <w:t>Const.</w:t>
      </w:r>
      <w:r>
        <w:rPr>
          <w:rFonts w:cs="Times New Roman"/>
        </w:rPr>
        <w:t xml:space="preserve"> 1993, ch. 3, § 21(1), </w:t>
      </w:r>
      <w:r>
        <w:rPr>
          <w:rFonts w:cs="Times New Roman"/>
          <w:i/>
        </w:rPr>
        <w:t xml:space="preserve">available at </w:t>
      </w:r>
      <w:r w:rsidRPr="00DE4BD2">
        <w:rPr>
          <w:rFonts w:cs="Times New Roman"/>
        </w:rPr>
        <w:t>http://www.info.gov.za/documents/constitution/93cons.htm#SECTION21</w:t>
      </w:r>
      <w:r>
        <w:rPr>
          <w:rFonts w:cs="Times New Roman"/>
        </w:rPr>
        <w:t xml:space="preserve">; </w:t>
      </w:r>
      <w:r>
        <w:rPr>
          <w:rFonts w:cs="Times New Roman"/>
          <w:smallCaps/>
        </w:rPr>
        <w:t xml:space="preserve">Bauer &amp; </w:t>
      </w:r>
      <w:r w:rsidRPr="002128B7">
        <w:rPr>
          <w:rFonts w:cs="Times New Roman"/>
          <w:smallCaps/>
        </w:rPr>
        <w:t>Tay</w:t>
      </w:r>
      <w:r>
        <w:rPr>
          <w:rFonts w:cs="Times New Roman"/>
          <w:smallCaps/>
        </w:rPr>
        <w:t xml:space="preserve">lor, </w:t>
      </w:r>
      <w:r>
        <w:rPr>
          <w:rFonts w:cs="Times New Roman"/>
          <w:i/>
        </w:rPr>
        <w:t xml:space="preserve">supra </w:t>
      </w:r>
      <w:r>
        <w:rPr>
          <w:rFonts w:cs="Times New Roman"/>
        </w:rPr>
        <w:t>note 16, at 249.</w:t>
      </w:r>
    </w:p>
  </w:footnote>
  <w:footnote w:id="298">
    <w:p w:rsidR="000D6203" w:rsidRPr="007576E6" w:rsidRDefault="000D6203" w:rsidP="00B133E5">
      <w:pPr>
        <w:pStyle w:val="FootnoteText"/>
        <w:spacing w:after="120"/>
      </w:pPr>
      <w:r>
        <w:rPr>
          <w:rStyle w:val="FootnoteReference"/>
        </w:rPr>
        <w:footnoteRef/>
      </w:r>
      <w:r>
        <w:t xml:space="preserve"> </w:t>
      </w:r>
      <w:r>
        <w:rPr>
          <w:i/>
        </w:rPr>
        <w:t xml:space="preserve">See </w:t>
      </w:r>
      <w:r w:rsidR="002F4C9E">
        <w:rPr>
          <w:rFonts w:cs="Times New Roman"/>
          <w:smallCaps/>
        </w:rPr>
        <w:t xml:space="preserve">Bauer &amp; </w:t>
      </w:r>
      <w:r w:rsidR="002F4C9E" w:rsidRPr="002128B7">
        <w:rPr>
          <w:rFonts w:cs="Times New Roman"/>
          <w:smallCaps/>
        </w:rPr>
        <w:t>Tay</w:t>
      </w:r>
      <w:r w:rsidR="002F4C9E">
        <w:rPr>
          <w:rFonts w:cs="Times New Roman"/>
          <w:smallCaps/>
        </w:rPr>
        <w:t xml:space="preserve">lor, </w:t>
      </w:r>
      <w:r w:rsidR="002F4C9E">
        <w:rPr>
          <w:rFonts w:cs="Times New Roman"/>
          <w:i/>
        </w:rPr>
        <w:t xml:space="preserve">supra </w:t>
      </w:r>
      <w:r w:rsidR="002F4C9E">
        <w:rPr>
          <w:rFonts w:cs="Times New Roman"/>
        </w:rPr>
        <w:t xml:space="preserve">note 16, at </w:t>
      </w:r>
      <w:r>
        <w:t xml:space="preserve">250 (citing </w:t>
      </w:r>
      <w:r w:rsidRPr="002128B7">
        <w:rPr>
          <w:rFonts w:cs="Times New Roman"/>
        </w:rPr>
        <w:t xml:space="preserve">Mattes, </w:t>
      </w:r>
      <w:r>
        <w:rPr>
          <w:rFonts w:cs="Times New Roman"/>
          <w:i/>
        </w:rPr>
        <w:t xml:space="preserve">supra </w:t>
      </w:r>
      <w:r>
        <w:rPr>
          <w:rFonts w:cs="Times New Roman"/>
        </w:rPr>
        <w:t>note 254, at 24).</w:t>
      </w:r>
    </w:p>
  </w:footnote>
  <w:footnote w:id="299">
    <w:p w:rsidR="000D6203" w:rsidRDefault="000D6203" w:rsidP="00B133E5">
      <w:pPr>
        <w:pStyle w:val="FootnoteText"/>
        <w:spacing w:after="120"/>
      </w:pPr>
      <w:r>
        <w:rPr>
          <w:rStyle w:val="FootnoteReference"/>
        </w:rPr>
        <w:footnoteRef/>
      </w:r>
      <w:r>
        <w:t xml:space="preserve"> </w:t>
      </w:r>
      <w:r w:rsidRPr="002128B7">
        <w:rPr>
          <w:rFonts w:cs="Times New Roman"/>
        </w:rPr>
        <w:t xml:space="preserve">Mattes, </w:t>
      </w:r>
      <w:r>
        <w:rPr>
          <w:rFonts w:cs="Times New Roman"/>
          <w:i/>
        </w:rPr>
        <w:t xml:space="preserve">supra </w:t>
      </w:r>
      <w:r>
        <w:rPr>
          <w:rFonts w:cs="Times New Roman"/>
        </w:rPr>
        <w:t>note 254, at 23.</w:t>
      </w:r>
    </w:p>
  </w:footnote>
  <w:footnote w:id="300">
    <w:p w:rsidR="000D6203" w:rsidRDefault="000D6203" w:rsidP="00B133E5">
      <w:pPr>
        <w:pStyle w:val="FootnoteText"/>
        <w:spacing w:after="120"/>
      </w:pPr>
      <w:r>
        <w:rPr>
          <w:rStyle w:val="FootnoteReference"/>
        </w:rPr>
        <w:footnoteRef/>
      </w:r>
      <w:r>
        <w:t xml:space="preserve"> </w:t>
      </w:r>
      <w:r>
        <w:rPr>
          <w:i/>
        </w:rPr>
        <w:t>See</w:t>
      </w:r>
      <w:r w:rsidRPr="00BE1C77">
        <w:rPr>
          <w:rFonts w:cs="Times New Roman"/>
          <w:smallCaps/>
        </w:rPr>
        <w:t xml:space="preserve"> </w:t>
      </w:r>
      <w:r>
        <w:rPr>
          <w:rFonts w:cs="Times New Roman"/>
          <w:smallCaps/>
        </w:rPr>
        <w:t xml:space="preserve">Bauer &amp; </w:t>
      </w:r>
      <w:r w:rsidRPr="002128B7">
        <w:rPr>
          <w:rFonts w:cs="Times New Roman"/>
          <w:smallCaps/>
        </w:rPr>
        <w:t>Tay</w:t>
      </w:r>
      <w:r>
        <w:rPr>
          <w:rFonts w:cs="Times New Roman"/>
          <w:smallCaps/>
        </w:rPr>
        <w:t xml:space="preserve">lor, </w:t>
      </w:r>
      <w:r>
        <w:rPr>
          <w:rFonts w:cs="Times New Roman"/>
          <w:i/>
        </w:rPr>
        <w:t xml:space="preserve">supra </w:t>
      </w:r>
      <w:r>
        <w:rPr>
          <w:rFonts w:cs="Times New Roman"/>
        </w:rPr>
        <w:t>note 16, at 250.</w:t>
      </w:r>
    </w:p>
  </w:footnote>
  <w:footnote w:id="301">
    <w:p w:rsidR="000D6203" w:rsidRDefault="000D6203" w:rsidP="00B133E5">
      <w:pPr>
        <w:pStyle w:val="FootnoteText"/>
        <w:spacing w:after="120"/>
      </w:pPr>
      <w:r>
        <w:rPr>
          <w:rStyle w:val="FootnoteReference"/>
        </w:rPr>
        <w:footnoteRef/>
      </w:r>
      <w:r>
        <w:t xml:space="preserve"> </w:t>
      </w:r>
      <w:r w:rsidR="002F4C9E">
        <w:rPr>
          <w:i/>
        </w:rPr>
        <w:t>See id.</w:t>
      </w:r>
    </w:p>
  </w:footnote>
  <w:footnote w:id="302">
    <w:p w:rsidR="000D6203" w:rsidRPr="009F5FB6" w:rsidRDefault="000D6203" w:rsidP="00B133E5">
      <w:pPr>
        <w:pStyle w:val="FootnoteText"/>
        <w:spacing w:after="120"/>
      </w:pPr>
      <w:r>
        <w:rPr>
          <w:rStyle w:val="FootnoteReference"/>
        </w:rPr>
        <w:footnoteRef/>
      </w:r>
      <w:r>
        <w:t xml:space="preserve"> </w:t>
      </w:r>
      <w:r w:rsidR="002F4C9E">
        <w:rPr>
          <w:i/>
        </w:rPr>
        <w:t>See id.</w:t>
      </w:r>
      <w:r>
        <w:rPr>
          <w:rFonts w:cs="Times New Roman"/>
        </w:rPr>
        <w:t xml:space="preserve"> </w:t>
      </w:r>
      <w:r>
        <w:rPr>
          <w:rFonts w:cs="Times New Roman"/>
          <w:i/>
        </w:rPr>
        <w:t xml:space="preserve">See also </w:t>
      </w:r>
      <w:r w:rsidRPr="009F5FB6">
        <w:rPr>
          <w:rFonts w:cs="Times New Roman"/>
          <w:smallCaps/>
        </w:rPr>
        <w:t>S. Afr. Const.</w:t>
      </w:r>
      <w:r w:rsidRPr="009D4584">
        <w:rPr>
          <w:rFonts w:cs="Times New Roman"/>
        </w:rPr>
        <w:t xml:space="preserve"> 1996</w:t>
      </w:r>
      <w:r>
        <w:rPr>
          <w:rFonts w:cs="Times New Roman"/>
        </w:rPr>
        <w:t xml:space="preserve">, ch. 6 &amp; § 146, </w:t>
      </w:r>
      <w:r>
        <w:rPr>
          <w:rFonts w:cs="Times New Roman"/>
          <w:i/>
        </w:rPr>
        <w:t xml:space="preserve">available at </w:t>
      </w:r>
      <w:r w:rsidRPr="00455E1E">
        <w:rPr>
          <w:rFonts w:cs="Times New Roman"/>
        </w:rPr>
        <w:t>http://www.info.gov.za/documents/constitution/1996/96cons6</w:t>
      </w:r>
      <w:r>
        <w:rPr>
          <w:rFonts w:cs="Times New Roman"/>
        </w:rPr>
        <w:t xml:space="preserve">; </w:t>
      </w:r>
      <w:r w:rsidRPr="009F5FB6">
        <w:rPr>
          <w:rFonts w:cs="Times New Roman"/>
          <w:smallCaps/>
        </w:rPr>
        <w:t xml:space="preserve">S. Afr. </w:t>
      </w:r>
      <w:r>
        <w:rPr>
          <w:rFonts w:cs="Times New Roman"/>
          <w:smallCaps/>
        </w:rPr>
        <w:t>(</w:t>
      </w:r>
      <w:r w:rsidRPr="00DE4BD2">
        <w:rPr>
          <w:rFonts w:cs="Times New Roman"/>
        </w:rPr>
        <w:t>Interim</w:t>
      </w:r>
      <w:r>
        <w:rPr>
          <w:rFonts w:cs="Times New Roman"/>
          <w:smallCaps/>
        </w:rPr>
        <w:t xml:space="preserve">) </w:t>
      </w:r>
      <w:r w:rsidRPr="009F5FB6">
        <w:rPr>
          <w:rFonts w:cs="Times New Roman"/>
          <w:smallCaps/>
        </w:rPr>
        <w:t>Const.</w:t>
      </w:r>
      <w:r>
        <w:rPr>
          <w:rFonts w:cs="Times New Roman"/>
        </w:rPr>
        <w:t xml:space="preserve"> 1993, ch. 9, </w:t>
      </w:r>
      <w:r>
        <w:rPr>
          <w:rFonts w:cs="Times New Roman"/>
          <w:i/>
        </w:rPr>
        <w:t xml:space="preserve">available at </w:t>
      </w:r>
      <w:r w:rsidRPr="00455E1E">
        <w:rPr>
          <w:rFonts w:cs="Times New Roman"/>
        </w:rPr>
        <w:t>http://www.info.gov.za/documents/constitution/93cons.htm#CHAP9</w:t>
      </w:r>
      <w:r w:rsidRPr="009F5FB6">
        <w:rPr>
          <w:rFonts w:cs="Times New Roman"/>
        </w:rPr>
        <w:t>.</w:t>
      </w:r>
    </w:p>
  </w:footnote>
  <w:footnote w:id="303">
    <w:p w:rsidR="000D6203" w:rsidRDefault="000D6203" w:rsidP="00B133E5">
      <w:pPr>
        <w:pStyle w:val="FootnoteText"/>
        <w:spacing w:after="120"/>
      </w:pPr>
      <w:r>
        <w:rPr>
          <w:rStyle w:val="FootnoteReference"/>
        </w:rPr>
        <w:footnoteRef/>
      </w:r>
      <w:r>
        <w:t xml:space="preserve"> </w:t>
      </w:r>
      <w:r>
        <w:rPr>
          <w:i/>
        </w:rPr>
        <w:t>See</w:t>
      </w:r>
      <w:r w:rsidRPr="00BE1C77">
        <w:rPr>
          <w:rFonts w:cs="Times New Roman"/>
          <w:smallCaps/>
        </w:rPr>
        <w:t xml:space="preserve"> </w:t>
      </w:r>
      <w:r>
        <w:rPr>
          <w:rFonts w:cs="Times New Roman"/>
          <w:smallCaps/>
        </w:rPr>
        <w:t xml:space="preserve">Bauer &amp; </w:t>
      </w:r>
      <w:r w:rsidRPr="002128B7">
        <w:rPr>
          <w:rFonts w:cs="Times New Roman"/>
          <w:smallCaps/>
        </w:rPr>
        <w:t>Tay</w:t>
      </w:r>
      <w:r>
        <w:rPr>
          <w:rFonts w:cs="Times New Roman"/>
          <w:smallCaps/>
        </w:rPr>
        <w:t xml:space="preserve">lor, </w:t>
      </w:r>
      <w:r>
        <w:rPr>
          <w:rFonts w:cs="Times New Roman"/>
          <w:i/>
        </w:rPr>
        <w:t xml:space="preserve">supra </w:t>
      </w:r>
      <w:r>
        <w:rPr>
          <w:rFonts w:cs="Times New Roman"/>
        </w:rPr>
        <w:t>note 16, at 251, 260-61.</w:t>
      </w:r>
    </w:p>
  </w:footnote>
  <w:footnote w:id="304">
    <w:p w:rsidR="000D6203" w:rsidRPr="00462910" w:rsidRDefault="000D6203" w:rsidP="00B133E5">
      <w:pPr>
        <w:pStyle w:val="FootnoteText"/>
        <w:spacing w:after="120"/>
      </w:pPr>
      <w:r>
        <w:rPr>
          <w:rStyle w:val="FootnoteReference"/>
        </w:rPr>
        <w:footnoteRef/>
      </w:r>
      <w:r>
        <w:t xml:space="preserve"> </w:t>
      </w:r>
      <w:r>
        <w:rPr>
          <w:i/>
        </w:rPr>
        <w:t xml:space="preserve">See id. </w:t>
      </w:r>
      <w:r>
        <w:t xml:space="preserve">at 251, 260. </w:t>
      </w:r>
      <w:r>
        <w:rPr>
          <w:rFonts w:cs="Times New Roman"/>
          <w:i/>
        </w:rPr>
        <w:t>See also</w:t>
      </w:r>
      <w:r>
        <w:rPr>
          <w:rFonts w:cs="Times New Roman"/>
        </w:rPr>
        <w:t xml:space="preserve"> </w:t>
      </w:r>
      <w:r w:rsidRPr="009F5FB6">
        <w:rPr>
          <w:rFonts w:cs="Times New Roman"/>
          <w:smallCaps/>
        </w:rPr>
        <w:t>S. Afr. Const.</w:t>
      </w:r>
      <w:r w:rsidRPr="009D4584">
        <w:rPr>
          <w:rFonts w:cs="Times New Roman"/>
        </w:rPr>
        <w:t xml:space="preserve"> 1996</w:t>
      </w:r>
      <w:r>
        <w:rPr>
          <w:rFonts w:cs="Times New Roman"/>
        </w:rPr>
        <w:t>, ch. 4, § 47(3)(c).</w:t>
      </w:r>
    </w:p>
  </w:footnote>
  <w:footnote w:id="305">
    <w:p w:rsidR="000D6203" w:rsidRPr="00DE4BD2" w:rsidRDefault="000D6203" w:rsidP="00B133E5">
      <w:pPr>
        <w:pStyle w:val="FootnoteText"/>
        <w:spacing w:after="120"/>
      </w:pPr>
      <w:r>
        <w:rPr>
          <w:rStyle w:val="FootnoteReference"/>
        </w:rPr>
        <w:footnoteRef/>
      </w:r>
      <w:r>
        <w:t xml:space="preserve"> </w:t>
      </w:r>
      <w:r>
        <w:rPr>
          <w:i/>
        </w:rPr>
        <w:t xml:space="preserve">See </w:t>
      </w:r>
      <w:r>
        <w:t xml:space="preserve">Constitution Fifteenth Amendment Act of 2008, 523 </w:t>
      </w:r>
      <w:r w:rsidRPr="00DE4BD2">
        <w:rPr>
          <w:smallCaps/>
        </w:rPr>
        <w:t>Gov. Gazette</w:t>
      </w:r>
      <w:r>
        <w:t xml:space="preserve"> 31792, 2-4, </w:t>
      </w:r>
      <w:r>
        <w:rPr>
          <w:i/>
        </w:rPr>
        <w:t>available at</w:t>
      </w:r>
      <w:r>
        <w:t xml:space="preserve"> </w:t>
      </w:r>
      <w:r w:rsidRPr="00865DA8">
        <w:t>http://www.info.gov.za/view/DownloadFileAction?id=94452</w:t>
      </w:r>
      <w:r>
        <w:t>. Section 47 currently states, "</w:t>
      </w:r>
      <w:r w:rsidRPr="00865DA8">
        <w:t>A person loses membership of the National Assembly if that person</w:t>
      </w:r>
      <w:r>
        <w:t xml:space="preserve"> … </w:t>
      </w:r>
      <w:r w:rsidRPr="00865DA8">
        <w:t>ceases to be a member of the party that nominated that person as a member of the Assembly.</w:t>
      </w:r>
      <w:r>
        <w:t xml:space="preserve">" </w:t>
      </w:r>
      <w:r w:rsidRPr="009F5FB6">
        <w:rPr>
          <w:rFonts w:cs="Times New Roman"/>
          <w:smallCaps/>
        </w:rPr>
        <w:t>S. Afr. Const.</w:t>
      </w:r>
      <w:r w:rsidRPr="009D4584">
        <w:rPr>
          <w:rFonts w:cs="Times New Roman"/>
        </w:rPr>
        <w:t xml:space="preserve"> 1996</w:t>
      </w:r>
      <w:r>
        <w:rPr>
          <w:rFonts w:cs="Times New Roman"/>
        </w:rPr>
        <w:t xml:space="preserve">, ch. 4, § 47(3)(c) (amended 2009), </w:t>
      </w:r>
      <w:r>
        <w:rPr>
          <w:rFonts w:cs="Times New Roman"/>
          <w:i/>
        </w:rPr>
        <w:t xml:space="preserve">available at </w:t>
      </w:r>
      <w:r w:rsidRPr="00DC145A">
        <w:rPr>
          <w:rFonts w:cs="Times New Roman"/>
        </w:rPr>
        <w:t>http://www.info.gov.za/documents/constitution/1996/96cons4.htm#47</w:t>
      </w:r>
      <w:r>
        <w:rPr>
          <w:rFonts w:cs="Times New Roman"/>
        </w:rPr>
        <w:t>.</w:t>
      </w:r>
    </w:p>
  </w:footnote>
  <w:footnote w:id="306">
    <w:p w:rsidR="000D6203" w:rsidRPr="007E4A2A" w:rsidRDefault="000D6203" w:rsidP="00B133E5">
      <w:pPr>
        <w:pStyle w:val="FootnoteText"/>
        <w:spacing w:after="120"/>
      </w:pPr>
      <w:r>
        <w:rPr>
          <w:rStyle w:val="FootnoteReference"/>
        </w:rPr>
        <w:footnoteRef/>
      </w:r>
      <w:r>
        <w:t xml:space="preserve"> </w:t>
      </w:r>
      <w:r>
        <w:rPr>
          <w:i/>
        </w:rPr>
        <w:t xml:space="preserve">See </w:t>
      </w:r>
      <w:r w:rsidRPr="002128B7">
        <w:rPr>
          <w:rFonts w:cs="Times New Roman"/>
        </w:rPr>
        <w:t xml:space="preserve">Mattes, </w:t>
      </w:r>
      <w:r>
        <w:rPr>
          <w:rFonts w:cs="Times New Roman"/>
          <w:i/>
        </w:rPr>
        <w:t xml:space="preserve">supra </w:t>
      </w:r>
      <w:r>
        <w:rPr>
          <w:rFonts w:cs="Times New Roman"/>
        </w:rPr>
        <w:t>note 254, at 24.</w:t>
      </w:r>
    </w:p>
  </w:footnote>
  <w:footnote w:id="307">
    <w:p w:rsidR="000D6203" w:rsidRPr="00865DA8" w:rsidRDefault="000D6203" w:rsidP="00B133E5">
      <w:pPr>
        <w:pStyle w:val="FootnoteText"/>
        <w:spacing w:after="120"/>
        <w:rPr>
          <w:i/>
        </w:rPr>
      </w:pPr>
      <w:r>
        <w:rPr>
          <w:rStyle w:val="FootnoteReference"/>
        </w:rPr>
        <w:footnoteRef/>
      </w:r>
      <w:r>
        <w:t xml:space="preserve"> </w:t>
      </w:r>
      <w:r>
        <w:rPr>
          <w:i/>
        </w:rPr>
        <w:t>See id.</w:t>
      </w:r>
    </w:p>
  </w:footnote>
  <w:footnote w:id="308">
    <w:p w:rsidR="000D6203" w:rsidRPr="007E4A2A" w:rsidRDefault="000D6203" w:rsidP="00B133E5">
      <w:pPr>
        <w:pStyle w:val="FootnoteText"/>
        <w:spacing w:after="120"/>
        <w:rPr>
          <w:i/>
        </w:rPr>
      </w:pPr>
      <w:r>
        <w:rPr>
          <w:rStyle w:val="FootnoteReference"/>
        </w:rPr>
        <w:footnoteRef/>
      </w:r>
      <w:r>
        <w:t xml:space="preserve"> </w:t>
      </w:r>
      <w:r>
        <w:rPr>
          <w:i/>
        </w:rPr>
        <w:t>See id.</w:t>
      </w:r>
    </w:p>
  </w:footnote>
  <w:footnote w:id="309">
    <w:p w:rsidR="000D6203" w:rsidRDefault="000D6203" w:rsidP="00B133E5">
      <w:pPr>
        <w:pStyle w:val="FootnoteText"/>
        <w:spacing w:after="120"/>
      </w:pPr>
      <w:r>
        <w:rPr>
          <w:rStyle w:val="FootnoteReference"/>
        </w:rPr>
        <w:footnoteRef/>
      </w:r>
      <w:r>
        <w:t xml:space="preserve"> </w:t>
      </w:r>
      <w:r>
        <w:rPr>
          <w:rFonts w:cs="Times New Roman"/>
          <w:i/>
        </w:rPr>
        <w:t xml:space="preserve">See </w:t>
      </w:r>
      <w:r w:rsidRPr="009F5FB6">
        <w:rPr>
          <w:rFonts w:cs="Times New Roman"/>
          <w:smallCaps/>
        </w:rPr>
        <w:t>S. Afr. Const.</w:t>
      </w:r>
      <w:r w:rsidRPr="009D4584">
        <w:rPr>
          <w:rFonts w:cs="Times New Roman"/>
        </w:rPr>
        <w:t xml:space="preserve"> 1996</w:t>
      </w:r>
      <w:r>
        <w:rPr>
          <w:rFonts w:cs="Times New Roman"/>
        </w:rPr>
        <w:t xml:space="preserve">, ch. 14, § 236, </w:t>
      </w:r>
      <w:r>
        <w:rPr>
          <w:rFonts w:cs="Times New Roman"/>
          <w:i/>
        </w:rPr>
        <w:t xml:space="preserve">available at </w:t>
      </w:r>
      <w:r w:rsidRPr="00421738">
        <w:rPr>
          <w:rFonts w:cs="Times New Roman"/>
        </w:rPr>
        <w:t>http://www.info.gov.za/documents/constitution/1996/96cons14.htm#236</w:t>
      </w:r>
      <w:r>
        <w:rPr>
          <w:rFonts w:cs="Times New Roman"/>
        </w:rPr>
        <w:t>.</w:t>
      </w:r>
    </w:p>
  </w:footnote>
  <w:footnote w:id="310">
    <w:p w:rsidR="000D6203" w:rsidRPr="00421738" w:rsidRDefault="000D6203" w:rsidP="00B133E5">
      <w:pPr>
        <w:pStyle w:val="FootnoteText"/>
        <w:spacing w:after="120"/>
      </w:pPr>
      <w:r>
        <w:rPr>
          <w:rStyle w:val="FootnoteReference"/>
        </w:rPr>
        <w:footnoteRef/>
      </w:r>
      <w:r>
        <w:t xml:space="preserve"> </w:t>
      </w:r>
      <w:r>
        <w:rPr>
          <w:i/>
        </w:rPr>
        <w:t xml:space="preserve">See </w:t>
      </w:r>
      <w:r w:rsidRPr="002128B7">
        <w:rPr>
          <w:rFonts w:cs="Times New Roman"/>
        </w:rPr>
        <w:t xml:space="preserve">Glenda Fick, </w:t>
      </w:r>
      <w:r w:rsidRPr="002128B7">
        <w:rPr>
          <w:rFonts w:cs="Times New Roman"/>
          <w:i/>
        </w:rPr>
        <w:t>South Africa: Public Funding of Represented Political Parties Act</w:t>
      </w:r>
      <w:r w:rsidRPr="002128B7">
        <w:rPr>
          <w:rFonts w:cs="Times New Roman"/>
        </w:rPr>
        <w:t>, EISA, Oct., 1998, http://www.eisa.org.za/WEP/soulaws6.htm.</w:t>
      </w:r>
    </w:p>
  </w:footnote>
  <w:footnote w:id="311">
    <w:p w:rsidR="000D6203" w:rsidRPr="001D6351"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w:t>
      </w:r>
      <w:r>
        <w:rPr>
          <w:rFonts w:cs="Times New Roman"/>
          <w:i/>
        </w:rPr>
        <w:t>See id.</w:t>
      </w:r>
      <w:r>
        <w:rPr>
          <w:rFonts w:cs="Times New Roman"/>
        </w:rPr>
        <w:t xml:space="preserve"> </w:t>
      </w:r>
      <w:r>
        <w:rPr>
          <w:rFonts w:cs="Times New Roman"/>
          <w:i/>
        </w:rPr>
        <w:t xml:space="preserve">See also </w:t>
      </w:r>
      <w:r w:rsidRPr="002128B7">
        <w:rPr>
          <w:rFonts w:cs="Times New Roman"/>
        </w:rPr>
        <w:t xml:space="preserve">Public Funding of Represented Political Parties </w:t>
      </w:r>
      <w:r>
        <w:rPr>
          <w:rFonts w:cs="Times New Roman"/>
        </w:rPr>
        <w:t xml:space="preserve">Act, Act No. 103, 390 </w:t>
      </w:r>
      <w:r w:rsidRPr="001D6351">
        <w:rPr>
          <w:rFonts w:cs="Times New Roman"/>
          <w:smallCaps/>
        </w:rPr>
        <w:t>Gov. Gazette</w:t>
      </w:r>
      <w:r w:rsidRPr="002128B7">
        <w:rPr>
          <w:rFonts w:cs="Times New Roman"/>
        </w:rPr>
        <w:t xml:space="preserve"> 18517 (1997).</w:t>
      </w:r>
    </w:p>
  </w:footnote>
  <w:footnote w:id="312">
    <w:p w:rsidR="000D6203" w:rsidRPr="002128B7" w:rsidRDefault="000D6203" w:rsidP="00B133E5">
      <w:pPr>
        <w:widowControl w:val="0"/>
        <w:spacing w:after="120" w:line="240" w:lineRule="auto"/>
        <w:rPr>
          <w:rFonts w:cs="Times New Roman"/>
        </w:rPr>
      </w:pPr>
      <w:r w:rsidRPr="002128B7">
        <w:rPr>
          <w:rStyle w:val="FootnoteReference"/>
          <w:rFonts w:cs="Times New Roman"/>
        </w:rPr>
        <w:footnoteRef/>
      </w:r>
      <w:r w:rsidRPr="002128B7">
        <w:rPr>
          <w:rFonts w:cs="Times New Roman"/>
        </w:rPr>
        <w:t xml:space="preserve"> Public Funding of Represented Political Parties Act, Act No. 103, 390 </w:t>
      </w:r>
      <w:r w:rsidRPr="001D6351">
        <w:rPr>
          <w:rFonts w:cs="Times New Roman"/>
          <w:smallCaps/>
        </w:rPr>
        <w:t>Gov. Gazette</w:t>
      </w:r>
      <w:r w:rsidRPr="002128B7">
        <w:rPr>
          <w:rFonts w:cs="Times New Roman"/>
        </w:rPr>
        <w:t xml:space="preserve"> 18517 (1997).</w:t>
      </w:r>
    </w:p>
  </w:footnote>
  <w:footnote w:id="313">
    <w:p w:rsidR="000D6203" w:rsidRPr="001D6351" w:rsidRDefault="000D6203" w:rsidP="00B133E5">
      <w:pPr>
        <w:pStyle w:val="FootnoteText"/>
        <w:spacing w:after="120"/>
      </w:pPr>
      <w:r>
        <w:rPr>
          <w:rStyle w:val="FootnoteReference"/>
        </w:rPr>
        <w:footnoteRef/>
      </w:r>
      <w:r>
        <w:t xml:space="preserve"> </w:t>
      </w:r>
      <w:r>
        <w:rPr>
          <w:i/>
        </w:rPr>
        <w:t xml:space="preserve">See supra </w:t>
      </w:r>
      <w:r>
        <w:t>notes 257-61 and accompanying text.</w:t>
      </w:r>
    </w:p>
  </w:footnote>
  <w:footnote w:id="314">
    <w:p w:rsidR="000D6203" w:rsidRDefault="000D6203" w:rsidP="00B133E5">
      <w:pPr>
        <w:pStyle w:val="FootnoteText"/>
        <w:widowControl w:val="0"/>
        <w:spacing w:after="120"/>
      </w:pPr>
      <w:r>
        <w:rPr>
          <w:rStyle w:val="FootnoteReference"/>
        </w:rPr>
        <w:footnoteRef/>
      </w:r>
      <w:r>
        <w:t xml:space="preserve"> </w:t>
      </w:r>
      <w:r>
        <w:rPr>
          <w:i/>
        </w:rPr>
        <w:t xml:space="preserve">See </w:t>
      </w:r>
      <w:r w:rsidRPr="009F5FB6">
        <w:rPr>
          <w:rFonts w:cs="Times New Roman"/>
          <w:smallCaps/>
        </w:rPr>
        <w:t>Turk. Const.</w:t>
      </w:r>
      <w:r w:rsidRPr="002128B7">
        <w:rPr>
          <w:rFonts w:cs="Times New Roman"/>
        </w:rPr>
        <w:t xml:space="preserve"> art</w:t>
      </w:r>
      <w:r>
        <w:rPr>
          <w:rFonts w:cs="Times New Roman"/>
        </w:rPr>
        <w:t xml:space="preserve">s. 2 &amp; 4 (1982), </w:t>
      </w:r>
      <w:r>
        <w:rPr>
          <w:rFonts w:cs="Times New Roman"/>
          <w:i/>
        </w:rPr>
        <w:t xml:space="preserve">available at </w:t>
      </w:r>
      <w:r w:rsidRPr="006D1A93">
        <w:rPr>
          <w:rFonts w:cs="Times New Roman"/>
        </w:rPr>
        <w:t>http://www.anayasa.gov.tr/images/loaded/pdf_dosyalari/THE_CONSTITUTION_OF_THE_REPUBLIC_OF_TURKEY.pdf.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2129E"/>
    <w:multiLevelType w:val="hybridMultilevel"/>
    <w:tmpl w:val="F8EC0D5C"/>
    <w:lvl w:ilvl="0" w:tplc="8BF8323E">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AA1DB5"/>
    <w:multiLevelType w:val="hybridMultilevel"/>
    <w:tmpl w:val="3AD6A5BA"/>
    <w:lvl w:ilvl="0" w:tplc="F7287E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D73F48"/>
    <w:multiLevelType w:val="hybridMultilevel"/>
    <w:tmpl w:val="9F2852EA"/>
    <w:lvl w:ilvl="0" w:tplc="D60664A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06613F"/>
    <w:multiLevelType w:val="hybridMultilevel"/>
    <w:tmpl w:val="20A0DE3C"/>
    <w:lvl w:ilvl="0" w:tplc="AA2CC5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2F75E6"/>
    <w:multiLevelType w:val="hybridMultilevel"/>
    <w:tmpl w:val="9580E156"/>
    <w:lvl w:ilvl="0" w:tplc="D714A66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9293F49"/>
    <w:multiLevelType w:val="hybridMultilevel"/>
    <w:tmpl w:val="74B25662"/>
    <w:lvl w:ilvl="0" w:tplc="360CF3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D53707"/>
    <w:multiLevelType w:val="hybridMultilevel"/>
    <w:tmpl w:val="9B103742"/>
    <w:lvl w:ilvl="0" w:tplc="1A28BF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1F03C5"/>
    <w:multiLevelType w:val="hybridMultilevel"/>
    <w:tmpl w:val="AA7CC82C"/>
    <w:lvl w:ilvl="0" w:tplc="109A4A6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D4804F4"/>
    <w:multiLevelType w:val="hybridMultilevel"/>
    <w:tmpl w:val="29C6DEE4"/>
    <w:lvl w:ilvl="0" w:tplc="829C11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3"/>
  </w:num>
  <w:num w:numId="5">
    <w:abstractNumId w:val="4"/>
  </w:num>
  <w:num w:numId="6">
    <w:abstractNumId w:val="5"/>
  </w:num>
  <w:num w:numId="7">
    <w:abstractNumId w:val="7"/>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displayBackgroundShape/>
  <w:defaultTabStop w:val="720"/>
  <w:characterSpacingControl w:val="doNotCompress"/>
  <w:footnotePr>
    <w:footnote w:id="-1"/>
    <w:footnote w:id="0"/>
  </w:footnotePr>
  <w:endnotePr>
    <w:endnote w:id="-1"/>
    <w:endnote w:id="0"/>
  </w:endnotePr>
  <w:compat/>
  <w:rsids>
    <w:rsidRoot w:val="000332CB"/>
    <w:rsid w:val="00004756"/>
    <w:rsid w:val="000106AD"/>
    <w:rsid w:val="0001327B"/>
    <w:rsid w:val="00022274"/>
    <w:rsid w:val="00022394"/>
    <w:rsid w:val="00023394"/>
    <w:rsid w:val="000235FD"/>
    <w:rsid w:val="0003103F"/>
    <w:rsid w:val="000332CB"/>
    <w:rsid w:val="0005448C"/>
    <w:rsid w:val="00080C1F"/>
    <w:rsid w:val="00081E53"/>
    <w:rsid w:val="000832CA"/>
    <w:rsid w:val="000942ED"/>
    <w:rsid w:val="000A2E16"/>
    <w:rsid w:val="000B285C"/>
    <w:rsid w:val="000B5D9C"/>
    <w:rsid w:val="000C4321"/>
    <w:rsid w:val="000D370C"/>
    <w:rsid w:val="000D3A5A"/>
    <w:rsid w:val="000D6203"/>
    <w:rsid w:val="000D7E17"/>
    <w:rsid w:val="000E6655"/>
    <w:rsid w:val="000F60BB"/>
    <w:rsid w:val="000F7670"/>
    <w:rsid w:val="00100E2F"/>
    <w:rsid w:val="00104CD1"/>
    <w:rsid w:val="001064CC"/>
    <w:rsid w:val="00111998"/>
    <w:rsid w:val="00111C21"/>
    <w:rsid w:val="00113E33"/>
    <w:rsid w:val="001316BD"/>
    <w:rsid w:val="00142B0F"/>
    <w:rsid w:val="00145BD0"/>
    <w:rsid w:val="00160848"/>
    <w:rsid w:val="00161CAE"/>
    <w:rsid w:val="00165370"/>
    <w:rsid w:val="00187EE2"/>
    <w:rsid w:val="001A4E6B"/>
    <w:rsid w:val="001A5663"/>
    <w:rsid w:val="001A5C4C"/>
    <w:rsid w:val="001A7C70"/>
    <w:rsid w:val="001B4CAC"/>
    <w:rsid w:val="001C619E"/>
    <w:rsid w:val="001C6BB1"/>
    <w:rsid w:val="001C7766"/>
    <w:rsid w:val="001D6351"/>
    <w:rsid w:val="001E1D79"/>
    <w:rsid w:val="001F12C6"/>
    <w:rsid w:val="001F27CB"/>
    <w:rsid w:val="001F4B33"/>
    <w:rsid w:val="002128B7"/>
    <w:rsid w:val="002209EE"/>
    <w:rsid w:val="00220E4E"/>
    <w:rsid w:val="00221B0E"/>
    <w:rsid w:val="00223C8E"/>
    <w:rsid w:val="00224CF0"/>
    <w:rsid w:val="00226316"/>
    <w:rsid w:val="00270342"/>
    <w:rsid w:val="00277CD4"/>
    <w:rsid w:val="00283144"/>
    <w:rsid w:val="0028419D"/>
    <w:rsid w:val="00294E45"/>
    <w:rsid w:val="00296D9D"/>
    <w:rsid w:val="002A03ED"/>
    <w:rsid w:val="002A12D8"/>
    <w:rsid w:val="002A3D87"/>
    <w:rsid w:val="002A5AC7"/>
    <w:rsid w:val="002A5BF2"/>
    <w:rsid w:val="002A6DD4"/>
    <w:rsid w:val="002B05AC"/>
    <w:rsid w:val="002C1C36"/>
    <w:rsid w:val="002C66D9"/>
    <w:rsid w:val="002E5B82"/>
    <w:rsid w:val="002F221D"/>
    <w:rsid w:val="002F4ABC"/>
    <w:rsid w:val="002F4C9E"/>
    <w:rsid w:val="0031448B"/>
    <w:rsid w:val="00324258"/>
    <w:rsid w:val="00341BFD"/>
    <w:rsid w:val="003429D5"/>
    <w:rsid w:val="00350681"/>
    <w:rsid w:val="0035691E"/>
    <w:rsid w:val="00364563"/>
    <w:rsid w:val="00366296"/>
    <w:rsid w:val="0036630F"/>
    <w:rsid w:val="0036778D"/>
    <w:rsid w:val="00377AD3"/>
    <w:rsid w:val="0038226D"/>
    <w:rsid w:val="00383B23"/>
    <w:rsid w:val="00390670"/>
    <w:rsid w:val="0039375E"/>
    <w:rsid w:val="003A5772"/>
    <w:rsid w:val="003B0A39"/>
    <w:rsid w:val="003B227D"/>
    <w:rsid w:val="003B4980"/>
    <w:rsid w:val="003C628F"/>
    <w:rsid w:val="003C75AE"/>
    <w:rsid w:val="003E0770"/>
    <w:rsid w:val="003E10E4"/>
    <w:rsid w:val="003E13A0"/>
    <w:rsid w:val="003E5E99"/>
    <w:rsid w:val="004036CE"/>
    <w:rsid w:val="00405474"/>
    <w:rsid w:val="004121C2"/>
    <w:rsid w:val="00416443"/>
    <w:rsid w:val="00417605"/>
    <w:rsid w:val="004179A2"/>
    <w:rsid w:val="00421738"/>
    <w:rsid w:val="00421A45"/>
    <w:rsid w:val="00423A90"/>
    <w:rsid w:val="00427A51"/>
    <w:rsid w:val="00432CC6"/>
    <w:rsid w:val="00437906"/>
    <w:rsid w:val="004451F9"/>
    <w:rsid w:val="00451C79"/>
    <w:rsid w:val="00453106"/>
    <w:rsid w:val="0045372F"/>
    <w:rsid w:val="00453822"/>
    <w:rsid w:val="00455C60"/>
    <w:rsid w:val="00455E1E"/>
    <w:rsid w:val="0046082D"/>
    <w:rsid w:val="004610E7"/>
    <w:rsid w:val="00462910"/>
    <w:rsid w:val="004635CF"/>
    <w:rsid w:val="00465926"/>
    <w:rsid w:val="00467985"/>
    <w:rsid w:val="00481742"/>
    <w:rsid w:val="00481ECA"/>
    <w:rsid w:val="00482319"/>
    <w:rsid w:val="004C0AB0"/>
    <w:rsid w:val="004C5482"/>
    <w:rsid w:val="004D08C8"/>
    <w:rsid w:val="004D653F"/>
    <w:rsid w:val="004D74C0"/>
    <w:rsid w:val="004D7643"/>
    <w:rsid w:val="004E08F2"/>
    <w:rsid w:val="00510E25"/>
    <w:rsid w:val="00512109"/>
    <w:rsid w:val="005144FF"/>
    <w:rsid w:val="00527E01"/>
    <w:rsid w:val="005332F5"/>
    <w:rsid w:val="005345CB"/>
    <w:rsid w:val="005431C2"/>
    <w:rsid w:val="0054445E"/>
    <w:rsid w:val="0055286B"/>
    <w:rsid w:val="00555358"/>
    <w:rsid w:val="005752AC"/>
    <w:rsid w:val="00581F27"/>
    <w:rsid w:val="00597FAB"/>
    <w:rsid w:val="005A1E45"/>
    <w:rsid w:val="005A1FD5"/>
    <w:rsid w:val="005A236F"/>
    <w:rsid w:val="005A35A3"/>
    <w:rsid w:val="005A533D"/>
    <w:rsid w:val="005B23A4"/>
    <w:rsid w:val="005B6E14"/>
    <w:rsid w:val="005F01D1"/>
    <w:rsid w:val="005F64E4"/>
    <w:rsid w:val="0060558C"/>
    <w:rsid w:val="00607142"/>
    <w:rsid w:val="006138FB"/>
    <w:rsid w:val="00616B7E"/>
    <w:rsid w:val="00624FDC"/>
    <w:rsid w:val="00633A50"/>
    <w:rsid w:val="00633FB0"/>
    <w:rsid w:val="0064473A"/>
    <w:rsid w:val="00652C41"/>
    <w:rsid w:val="0066300C"/>
    <w:rsid w:val="00672B62"/>
    <w:rsid w:val="00685966"/>
    <w:rsid w:val="00697F73"/>
    <w:rsid w:val="006A1285"/>
    <w:rsid w:val="006B061F"/>
    <w:rsid w:val="006B6A8A"/>
    <w:rsid w:val="006D15CB"/>
    <w:rsid w:val="006D1A93"/>
    <w:rsid w:val="006E24D0"/>
    <w:rsid w:val="007021DF"/>
    <w:rsid w:val="00702528"/>
    <w:rsid w:val="00714A7D"/>
    <w:rsid w:val="007318AA"/>
    <w:rsid w:val="00731B31"/>
    <w:rsid w:val="00735761"/>
    <w:rsid w:val="00742887"/>
    <w:rsid w:val="00742AFB"/>
    <w:rsid w:val="007576E6"/>
    <w:rsid w:val="00791D6E"/>
    <w:rsid w:val="007A4281"/>
    <w:rsid w:val="007B1AC2"/>
    <w:rsid w:val="007B2F66"/>
    <w:rsid w:val="007C56E8"/>
    <w:rsid w:val="007D06D2"/>
    <w:rsid w:val="007D6932"/>
    <w:rsid w:val="007E1D4E"/>
    <w:rsid w:val="007E4A2A"/>
    <w:rsid w:val="007F1AFE"/>
    <w:rsid w:val="007F2F5E"/>
    <w:rsid w:val="007F30B7"/>
    <w:rsid w:val="007F3A65"/>
    <w:rsid w:val="008024BE"/>
    <w:rsid w:val="008164E2"/>
    <w:rsid w:val="0082162E"/>
    <w:rsid w:val="00825F42"/>
    <w:rsid w:val="00827A66"/>
    <w:rsid w:val="00834BB4"/>
    <w:rsid w:val="00857578"/>
    <w:rsid w:val="00863B83"/>
    <w:rsid w:val="00864929"/>
    <w:rsid w:val="00865DA8"/>
    <w:rsid w:val="00867B1B"/>
    <w:rsid w:val="0087638F"/>
    <w:rsid w:val="00884C57"/>
    <w:rsid w:val="008874C4"/>
    <w:rsid w:val="00896345"/>
    <w:rsid w:val="008A3D09"/>
    <w:rsid w:val="008B4521"/>
    <w:rsid w:val="008C7163"/>
    <w:rsid w:val="008E551E"/>
    <w:rsid w:val="009232C1"/>
    <w:rsid w:val="00931CB5"/>
    <w:rsid w:val="00934415"/>
    <w:rsid w:val="009379DF"/>
    <w:rsid w:val="0094410D"/>
    <w:rsid w:val="00944E09"/>
    <w:rsid w:val="00965970"/>
    <w:rsid w:val="00973E59"/>
    <w:rsid w:val="00976971"/>
    <w:rsid w:val="00982702"/>
    <w:rsid w:val="00994254"/>
    <w:rsid w:val="00995B37"/>
    <w:rsid w:val="00997F23"/>
    <w:rsid w:val="009A2884"/>
    <w:rsid w:val="009A3439"/>
    <w:rsid w:val="009C13B0"/>
    <w:rsid w:val="009D3479"/>
    <w:rsid w:val="009D4584"/>
    <w:rsid w:val="009E33A8"/>
    <w:rsid w:val="009E4DFB"/>
    <w:rsid w:val="009F01F8"/>
    <w:rsid w:val="009F2350"/>
    <w:rsid w:val="009F5FB6"/>
    <w:rsid w:val="00A11194"/>
    <w:rsid w:val="00A17F71"/>
    <w:rsid w:val="00A25CB3"/>
    <w:rsid w:val="00A304AF"/>
    <w:rsid w:val="00A34B87"/>
    <w:rsid w:val="00A4147B"/>
    <w:rsid w:val="00A50C08"/>
    <w:rsid w:val="00A547FE"/>
    <w:rsid w:val="00A64CE6"/>
    <w:rsid w:val="00A6595C"/>
    <w:rsid w:val="00A67306"/>
    <w:rsid w:val="00A74D59"/>
    <w:rsid w:val="00A761F6"/>
    <w:rsid w:val="00A831A0"/>
    <w:rsid w:val="00A8363B"/>
    <w:rsid w:val="00A925AD"/>
    <w:rsid w:val="00A96CF5"/>
    <w:rsid w:val="00A97FBD"/>
    <w:rsid w:val="00AA3870"/>
    <w:rsid w:val="00AA6767"/>
    <w:rsid w:val="00AD1023"/>
    <w:rsid w:val="00AE38DF"/>
    <w:rsid w:val="00AE51D0"/>
    <w:rsid w:val="00AE6ED1"/>
    <w:rsid w:val="00AF1D9C"/>
    <w:rsid w:val="00AF4A80"/>
    <w:rsid w:val="00B01B12"/>
    <w:rsid w:val="00B03AF7"/>
    <w:rsid w:val="00B133E5"/>
    <w:rsid w:val="00B209C9"/>
    <w:rsid w:val="00B213BA"/>
    <w:rsid w:val="00B34B48"/>
    <w:rsid w:val="00B34E87"/>
    <w:rsid w:val="00B35AC7"/>
    <w:rsid w:val="00B44331"/>
    <w:rsid w:val="00B53DDF"/>
    <w:rsid w:val="00B60BC2"/>
    <w:rsid w:val="00B91F73"/>
    <w:rsid w:val="00B9660B"/>
    <w:rsid w:val="00BA3215"/>
    <w:rsid w:val="00BA5972"/>
    <w:rsid w:val="00BB151F"/>
    <w:rsid w:val="00BB298D"/>
    <w:rsid w:val="00BC5794"/>
    <w:rsid w:val="00BD2E84"/>
    <w:rsid w:val="00BD6925"/>
    <w:rsid w:val="00BE1C77"/>
    <w:rsid w:val="00BF586E"/>
    <w:rsid w:val="00BF645F"/>
    <w:rsid w:val="00C00958"/>
    <w:rsid w:val="00C047BF"/>
    <w:rsid w:val="00C0705A"/>
    <w:rsid w:val="00C22498"/>
    <w:rsid w:val="00C40684"/>
    <w:rsid w:val="00C5133F"/>
    <w:rsid w:val="00C66275"/>
    <w:rsid w:val="00C67B8C"/>
    <w:rsid w:val="00C776EE"/>
    <w:rsid w:val="00C80787"/>
    <w:rsid w:val="00C860C8"/>
    <w:rsid w:val="00C87E1B"/>
    <w:rsid w:val="00C90E96"/>
    <w:rsid w:val="00C961EA"/>
    <w:rsid w:val="00CA07C5"/>
    <w:rsid w:val="00CA15E3"/>
    <w:rsid w:val="00CA3D20"/>
    <w:rsid w:val="00CB199A"/>
    <w:rsid w:val="00CB612B"/>
    <w:rsid w:val="00CC360B"/>
    <w:rsid w:val="00CC45A4"/>
    <w:rsid w:val="00CD11EC"/>
    <w:rsid w:val="00CD1EB1"/>
    <w:rsid w:val="00CD4C3A"/>
    <w:rsid w:val="00CF4EE0"/>
    <w:rsid w:val="00D049C7"/>
    <w:rsid w:val="00D06733"/>
    <w:rsid w:val="00D07CBA"/>
    <w:rsid w:val="00D10EAB"/>
    <w:rsid w:val="00D168EA"/>
    <w:rsid w:val="00D20DE2"/>
    <w:rsid w:val="00D21339"/>
    <w:rsid w:val="00D33ECD"/>
    <w:rsid w:val="00D36503"/>
    <w:rsid w:val="00D42162"/>
    <w:rsid w:val="00D43962"/>
    <w:rsid w:val="00D53850"/>
    <w:rsid w:val="00D750AC"/>
    <w:rsid w:val="00D86641"/>
    <w:rsid w:val="00D9292B"/>
    <w:rsid w:val="00DC145A"/>
    <w:rsid w:val="00DC311B"/>
    <w:rsid w:val="00DC46FC"/>
    <w:rsid w:val="00DE4BD2"/>
    <w:rsid w:val="00E06460"/>
    <w:rsid w:val="00E17D17"/>
    <w:rsid w:val="00E327CF"/>
    <w:rsid w:val="00E33ADA"/>
    <w:rsid w:val="00E44A8B"/>
    <w:rsid w:val="00E54BD2"/>
    <w:rsid w:val="00E73375"/>
    <w:rsid w:val="00EA2781"/>
    <w:rsid w:val="00EA47F3"/>
    <w:rsid w:val="00EB4879"/>
    <w:rsid w:val="00EB6183"/>
    <w:rsid w:val="00EC3134"/>
    <w:rsid w:val="00EE04D8"/>
    <w:rsid w:val="00EE7738"/>
    <w:rsid w:val="00EF7EAB"/>
    <w:rsid w:val="00F008E7"/>
    <w:rsid w:val="00F008F2"/>
    <w:rsid w:val="00F00AB1"/>
    <w:rsid w:val="00F130F5"/>
    <w:rsid w:val="00F1726E"/>
    <w:rsid w:val="00F210A9"/>
    <w:rsid w:val="00F224F9"/>
    <w:rsid w:val="00F225A5"/>
    <w:rsid w:val="00F86770"/>
    <w:rsid w:val="00F9341D"/>
    <w:rsid w:val="00F93A80"/>
    <w:rsid w:val="00F97906"/>
    <w:rsid w:val="00FA35E1"/>
    <w:rsid w:val="00FC2118"/>
    <w:rsid w:val="00FC26FA"/>
    <w:rsid w:val="00FC45AE"/>
    <w:rsid w:val="00FC7F47"/>
    <w:rsid w:val="00FD0BB2"/>
    <w:rsid w:val="00FD2178"/>
    <w:rsid w:val="00FD5F2F"/>
    <w:rsid w:val="00FE18AC"/>
    <w:rsid w:val="00FE21E1"/>
    <w:rsid w:val="00FE3212"/>
    <w:rsid w:val="00FE5A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D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998"/>
    <w:pPr>
      <w:ind w:left="720"/>
      <w:contextualSpacing/>
    </w:pPr>
  </w:style>
  <w:style w:type="paragraph" w:styleId="EndnoteText">
    <w:name w:val="endnote text"/>
    <w:basedOn w:val="Normal"/>
    <w:link w:val="EndnoteTextChar"/>
    <w:uiPriority w:val="99"/>
    <w:semiHidden/>
    <w:unhideWhenUsed/>
    <w:rsid w:val="00111998"/>
    <w:pPr>
      <w:spacing w:after="0" w:line="240" w:lineRule="auto"/>
    </w:pPr>
  </w:style>
  <w:style w:type="character" w:customStyle="1" w:styleId="EndnoteTextChar">
    <w:name w:val="Endnote Text Char"/>
    <w:basedOn w:val="DefaultParagraphFont"/>
    <w:link w:val="EndnoteText"/>
    <w:uiPriority w:val="99"/>
    <w:semiHidden/>
    <w:rsid w:val="00111998"/>
    <w:rPr>
      <w:sz w:val="20"/>
      <w:szCs w:val="20"/>
    </w:rPr>
  </w:style>
  <w:style w:type="character" w:styleId="EndnoteReference">
    <w:name w:val="endnote reference"/>
    <w:basedOn w:val="DefaultParagraphFont"/>
    <w:uiPriority w:val="99"/>
    <w:semiHidden/>
    <w:unhideWhenUsed/>
    <w:rsid w:val="00111998"/>
    <w:rPr>
      <w:vertAlign w:val="superscript"/>
    </w:rPr>
  </w:style>
  <w:style w:type="paragraph" w:styleId="FootnoteText">
    <w:name w:val="footnote text"/>
    <w:basedOn w:val="Normal"/>
    <w:link w:val="FootnoteTextChar"/>
    <w:uiPriority w:val="99"/>
    <w:unhideWhenUsed/>
    <w:rsid w:val="00111998"/>
    <w:pPr>
      <w:spacing w:after="0" w:line="240" w:lineRule="auto"/>
    </w:pPr>
  </w:style>
  <w:style w:type="character" w:customStyle="1" w:styleId="FootnoteTextChar">
    <w:name w:val="Footnote Text Char"/>
    <w:basedOn w:val="DefaultParagraphFont"/>
    <w:link w:val="FootnoteText"/>
    <w:uiPriority w:val="99"/>
    <w:rsid w:val="00111998"/>
    <w:rPr>
      <w:sz w:val="20"/>
      <w:szCs w:val="20"/>
    </w:rPr>
  </w:style>
  <w:style w:type="character" w:styleId="FootnoteReference">
    <w:name w:val="footnote reference"/>
    <w:basedOn w:val="DefaultParagraphFont"/>
    <w:uiPriority w:val="99"/>
    <w:semiHidden/>
    <w:unhideWhenUsed/>
    <w:rsid w:val="00111998"/>
    <w:rPr>
      <w:vertAlign w:val="superscript"/>
    </w:rPr>
  </w:style>
  <w:style w:type="paragraph" w:styleId="NoSpacing">
    <w:name w:val="No Spacing"/>
    <w:uiPriority w:val="1"/>
    <w:qFormat/>
    <w:rsid w:val="007021DF"/>
    <w:pPr>
      <w:spacing w:after="0" w:line="240" w:lineRule="auto"/>
    </w:pPr>
  </w:style>
  <w:style w:type="paragraph" w:styleId="Header">
    <w:name w:val="header"/>
    <w:basedOn w:val="Normal"/>
    <w:link w:val="HeaderChar"/>
    <w:uiPriority w:val="99"/>
    <w:semiHidden/>
    <w:unhideWhenUsed/>
    <w:rsid w:val="009D34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D3479"/>
  </w:style>
  <w:style w:type="paragraph" w:styleId="Footer">
    <w:name w:val="footer"/>
    <w:basedOn w:val="Normal"/>
    <w:link w:val="FooterChar"/>
    <w:uiPriority w:val="99"/>
    <w:unhideWhenUsed/>
    <w:rsid w:val="009D34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479"/>
  </w:style>
  <w:style w:type="character" w:styleId="Hyperlink">
    <w:name w:val="Hyperlink"/>
    <w:basedOn w:val="DefaultParagraphFont"/>
    <w:uiPriority w:val="99"/>
    <w:unhideWhenUsed/>
    <w:rsid w:val="004E08F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8EC33-4FEE-48E9-BF8D-49C399ADB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50</Pages>
  <Words>12027</Words>
  <Characters>68560</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Shanda</dc:creator>
  <cp:lastModifiedBy>Shanda</cp:lastModifiedBy>
  <cp:revision>2</cp:revision>
  <cp:lastPrinted>2009-12-01T15:47:00Z</cp:lastPrinted>
  <dcterms:created xsi:type="dcterms:W3CDTF">2010-01-27T00:51:00Z</dcterms:created>
  <dcterms:modified xsi:type="dcterms:W3CDTF">2010-01-27T00:51:00Z</dcterms:modified>
</cp:coreProperties>
</file>